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FC7E2" w14:textId="2BBA9B4B" w:rsidR="00B17978" w:rsidRPr="00455DE3" w:rsidRDefault="008A4CB3" w:rsidP="00455DE3">
      <w:pPr>
        <w:widowControl w:val="0"/>
        <w:pBdr>
          <w:top w:val="nil"/>
          <w:left w:val="nil"/>
          <w:bottom w:val="nil"/>
          <w:right w:val="nil"/>
          <w:between w:val="nil"/>
        </w:pBdr>
        <w:spacing w:before="737" w:line="320" w:lineRule="auto"/>
        <w:ind w:right="1210" w:firstLine="22"/>
        <w:jc w:val="center"/>
        <w:rPr>
          <w:rFonts w:ascii="Noto Sans" w:eastAsia="Noto Sans" w:hAnsi="Noto Sans" w:cs="Noto Sans"/>
          <w:b/>
          <w:bCs/>
          <w:i/>
          <w:iCs/>
          <w:color w:val="333333"/>
          <w:sz w:val="35"/>
          <w:szCs w:val="35"/>
        </w:rPr>
      </w:pPr>
      <w:r w:rsidRPr="00455DE3">
        <w:rPr>
          <w:rFonts w:ascii="Noto Sans" w:eastAsia="Noto Sans" w:hAnsi="Noto Sans" w:cs="Noto Sans"/>
          <w:b/>
          <w:bCs/>
          <w:color w:val="333333"/>
          <w:sz w:val="35"/>
          <w:szCs w:val="35"/>
        </w:rPr>
        <w:t xml:space="preserve">LXXXVIII Sesión del Consejo de Rectores de la </w:t>
      </w:r>
      <w:r w:rsidRPr="00455DE3">
        <w:rPr>
          <w:rFonts w:ascii="Noto Sans" w:eastAsia="Noto Sans" w:hAnsi="Noto Sans" w:cs="Noto Sans"/>
          <w:b/>
          <w:bCs/>
          <w:i/>
          <w:iCs/>
          <w:color w:val="333333"/>
          <w:sz w:val="35"/>
          <w:szCs w:val="35"/>
        </w:rPr>
        <w:t>Seminario Universidad Sociedad Estad</w:t>
      </w:r>
      <w:bookmarkStart w:id="0" w:name="_GoBack"/>
      <w:bookmarkEnd w:id="0"/>
      <w:r w:rsidRPr="00455DE3">
        <w:rPr>
          <w:rFonts w:ascii="Noto Sans" w:eastAsia="Noto Sans" w:hAnsi="Noto Sans" w:cs="Noto Sans"/>
          <w:b/>
          <w:bCs/>
          <w:i/>
          <w:iCs/>
          <w:color w:val="333333"/>
          <w:sz w:val="35"/>
          <w:szCs w:val="35"/>
        </w:rPr>
        <w:t>o</w:t>
      </w:r>
    </w:p>
    <w:p w14:paraId="2B242602" w14:textId="77777777" w:rsidR="00B17978" w:rsidRDefault="008A4CB3" w:rsidP="00455DE3">
      <w:pPr>
        <w:widowControl w:val="0"/>
        <w:pBdr>
          <w:top w:val="nil"/>
          <w:left w:val="nil"/>
          <w:bottom w:val="nil"/>
          <w:right w:val="nil"/>
          <w:between w:val="nil"/>
        </w:pBdr>
        <w:spacing w:before="328" w:line="240" w:lineRule="auto"/>
        <w:ind w:left="22"/>
        <w:jc w:val="both"/>
        <w:rPr>
          <w:rFonts w:ascii="Noto Sans" w:eastAsia="Noto Sans" w:hAnsi="Noto Sans" w:cs="Noto Sans"/>
          <w:i/>
          <w:iCs/>
          <w:color w:val="333333"/>
          <w:sz w:val="23"/>
          <w:szCs w:val="23"/>
        </w:rPr>
      </w:pPr>
      <w:r>
        <w:rPr>
          <w:rFonts w:ascii="Noto Sans" w:eastAsia="Noto Sans" w:hAnsi="Noto Sans" w:cs="Noto Sans"/>
          <w:i/>
          <w:iCs/>
          <w:color w:val="333333"/>
          <w:sz w:val="23"/>
          <w:szCs w:val="23"/>
        </w:rPr>
        <w:t xml:space="preserve">Encarnación, Paraguay, 13 de noviembre de 2025 </w:t>
      </w:r>
    </w:p>
    <w:p w14:paraId="24D2ECC6" w14:textId="367F9F63" w:rsidR="00B17978" w:rsidRDefault="008A4CB3" w:rsidP="00455DE3">
      <w:pPr>
        <w:widowControl w:val="0"/>
        <w:pBdr>
          <w:top w:val="nil"/>
          <w:left w:val="nil"/>
          <w:bottom w:val="nil"/>
          <w:right w:val="nil"/>
          <w:between w:val="nil"/>
        </w:pBdr>
        <w:spacing w:before="343" w:line="318" w:lineRule="auto"/>
        <w:ind w:right="-4" w:firstLine="24"/>
        <w:jc w:val="both"/>
        <w:rPr>
          <w:rFonts w:ascii="Noto Sans" w:eastAsia="Noto Sans" w:hAnsi="Noto Sans" w:cs="Noto Sans"/>
          <w:color w:val="333333"/>
          <w:sz w:val="23"/>
          <w:szCs w:val="23"/>
        </w:rPr>
      </w:pPr>
      <w:r>
        <w:rPr>
          <w:rFonts w:ascii="Noto Sans" w:eastAsia="Noto Sans" w:hAnsi="Noto Sans" w:cs="Noto Sans"/>
          <w:color w:val="333333"/>
          <w:sz w:val="23"/>
          <w:szCs w:val="23"/>
        </w:rPr>
        <w:t>El Seminario “Universidad, Sociedad y Estado”, celebrado en el marco de la LXXXVIII Sesión del Consejo de Rectores de AUGM,</w:t>
      </w:r>
      <w:r>
        <w:rPr>
          <w:rFonts w:ascii="Noto Sans" w:eastAsia="Noto Sans" w:hAnsi="Noto Sans" w:cs="Noto Sans"/>
          <w:color w:val="333333"/>
          <w:sz w:val="23"/>
          <w:szCs w:val="23"/>
        </w:rPr>
        <w:t xml:space="preserve"> ha servido como un espacio crucial de diálogo y reflexión interinstitucional. Los debates se centraron en la articulación estratégica entre la academia, el sector público y la sociedad para afrontar los desafíos contemporáneos, con un énfasis particular e</w:t>
      </w:r>
      <w:r>
        <w:rPr>
          <w:rFonts w:ascii="Noto Sans" w:eastAsia="Noto Sans" w:hAnsi="Noto Sans" w:cs="Noto Sans"/>
          <w:color w:val="333333"/>
          <w:sz w:val="23"/>
          <w:szCs w:val="23"/>
        </w:rPr>
        <w:t>n la innovación, la Inteligencia Artificial (IA) y la calidad universitaria como pilares del desarrollo regional sostenible</w:t>
      </w:r>
      <w:r w:rsidR="004E5DAB">
        <w:rPr>
          <w:rFonts w:ascii="Noto Sans" w:eastAsia="Noto Sans" w:hAnsi="Noto Sans" w:cs="Noto Sans"/>
          <w:color w:val="333333"/>
          <w:sz w:val="23"/>
          <w:szCs w:val="23"/>
        </w:rPr>
        <w:t>,</w:t>
      </w:r>
      <w:r>
        <w:rPr>
          <w:rFonts w:ascii="Noto Sans" w:eastAsia="Noto Sans" w:hAnsi="Noto Sans" w:cs="Noto Sans"/>
          <w:color w:val="333333"/>
          <w:sz w:val="23"/>
          <w:szCs w:val="23"/>
        </w:rPr>
        <w:t xml:space="preserve"> así como la necesidad de una colaboración activa y estratégica entre los actores para abordar los desafíos contemporáneos y constru</w:t>
      </w:r>
      <w:r>
        <w:rPr>
          <w:rFonts w:ascii="Noto Sans" w:eastAsia="Noto Sans" w:hAnsi="Noto Sans" w:cs="Noto Sans"/>
          <w:color w:val="333333"/>
          <w:sz w:val="23"/>
          <w:szCs w:val="23"/>
        </w:rPr>
        <w:t>ir un futuro más próspero en América Latina</w:t>
      </w:r>
      <w:r w:rsidR="004E5DAB">
        <w:rPr>
          <w:rFonts w:ascii="Noto Sans" w:eastAsia="Noto Sans" w:hAnsi="Noto Sans" w:cs="Noto Sans"/>
          <w:color w:val="333333"/>
          <w:sz w:val="23"/>
          <w:szCs w:val="23"/>
        </w:rPr>
        <w:t>,</w:t>
      </w:r>
      <w:r>
        <w:rPr>
          <w:rFonts w:ascii="Noto Sans" w:eastAsia="Noto Sans" w:hAnsi="Noto Sans" w:cs="Noto Sans"/>
          <w:color w:val="333333"/>
          <w:sz w:val="23"/>
          <w:szCs w:val="23"/>
        </w:rPr>
        <w:t xml:space="preserve"> resignificando la función de la educación superior en el contexto de la globalización y el avance tecnológico. </w:t>
      </w:r>
    </w:p>
    <w:p w14:paraId="4AD23DCC" w14:textId="77777777" w:rsidR="00B17978" w:rsidRDefault="008A4CB3" w:rsidP="00455DE3">
      <w:pPr>
        <w:widowControl w:val="0"/>
        <w:spacing w:before="343" w:line="318" w:lineRule="auto"/>
        <w:ind w:right="-4" w:firstLine="24"/>
        <w:jc w:val="both"/>
        <w:rPr>
          <w:rFonts w:ascii="Noto Sans" w:eastAsia="Noto Sans" w:hAnsi="Noto Sans" w:cs="Noto Sans"/>
          <w:color w:val="333333"/>
          <w:sz w:val="23"/>
          <w:szCs w:val="23"/>
        </w:rPr>
      </w:pPr>
      <w:r>
        <w:rPr>
          <w:rFonts w:ascii="Noto Sans" w:eastAsia="Noto Sans" w:hAnsi="Noto Sans" w:cs="Noto Sans"/>
          <w:color w:val="333333"/>
          <w:sz w:val="23"/>
          <w:szCs w:val="23"/>
        </w:rPr>
        <w:t>En este contexto de acelerada transformación digital, la llegada de nuevas tecnologías ha redefinid</w:t>
      </w:r>
      <w:r>
        <w:rPr>
          <w:rFonts w:ascii="Noto Sans" w:eastAsia="Noto Sans" w:hAnsi="Noto Sans" w:cs="Noto Sans"/>
          <w:color w:val="333333"/>
          <w:sz w:val="23"/>
          <w:szCs w:val="23"/>
        </w:rPr>
        <w:t>o los modelos operativos y pedagógicos de las instituciones universitarias. De todas las innovaciones, la Inteligencia Artificial (IA) emerge como la fuerza más disruptiva, trascendiendo la mera herramienta operativa para convertirse en un agente de cambio</w:t>
      </w:r>
      <w:r>
        <w:rPr>
          <w:rFonts w:ascii="Noto Sans" w:eastAsia="Noto Sans" w:hAnsi="Noto Sans" w:cs="Noto Sans"/>
          <w:color w:val="333333"/>
          <w:sz w:val="23"/>
          <w:szCs w:val="23"/>
        </w:rPr>
        <w:t xml:space="preserve"> estructural.</w:t>
      </w:r>
    </w:p>
    <w:p w14:paraId="7E999B17" w14:textId="77777777" w:rsidR="00B17978" w:rsidRDefault="008A4CB3" w:rsidP="00455DE3">
      <w:pPr>
        <w:widowControl w:val="0"/>
        <w:spacing w:before="343" w:line="318" w:lineRule="auto"/>
        <w:ind w:right="-4" w:firstLine="24"/>
        <w:jc w:val="both"/>
        <w:rPr>
          <w:rFonts w:ascii="Noto Sans" w:eastAsia="Noto Sans" w:hAnsi="Noto Sans" w:cs="Noto Sans"/>
          <w:color w:val="333333"/>
          <w:sz w:val="23"/>
          <w:szCs w:val="23"/>
        </w:rPr>
      </w:pPr>
      <w:r>
        <w:rPr>
          <w:rFonts w:ascii="Noto Sans" w:eastAsia="Noto Sans" w:hAnsi="Noto Sans" w:cs="Noto Sans"/>
          <w:color w:val="333333"/>
          <w:sz w:val="23"/>
          <w:szCs w:val="23"/>
        </w:rPr>
        <w:t>La IA, con su capacidad para procesar vastas cantidades de datos, reconocer patrones y generar contenido, plantea una reevaluación fundamental de lo que significa enseñar, aprender e investigar en el siglo XXI.</w:t>
      </w:r>
    </w:p>
    <w:p w14:paraId="65DFB558" w14:textId="04044888" w:rsidR="00B17978" w:rsidRPr="00455DE3" w:rsidRDefault="004E5DAB" w:rsidP="00455DE3">
      <w:pPr>
        <w:widowControl w:val="0"/>
        <w:spacing w:before="343" w:line="318" w:lineRule="auto"/>
        <w:ind w:right="-4" w:firstLine="24"/>
        <w:jc w:val="both"/>
        <w:rPr>
          <w:rFonts w:ascii="Noto Sans" w:eastAsia="Noto Sans" w:hAnsi="Noto Sans" w:cs="Noto Sans"/>
          <w:b/>
          <w:bCs/>
          <w:color w:val="333333"/>
          <w:sz w:val="28"/>
          <w:szCs w:val="28"/>
        </w:rPr>
      </w:pPr>
      <w:r>
        <w:rPr>
          <w:rFonts w:ascii="Noto Sans" w:eastAsia="Noto Sans" w:hAnsi="Noto Sans" w:cs="Noto Sans"/>
          <w:color w:val="333333"/>
          <w:sz w:val="23"/>
          <w:szCs w:val="23"/>
        </w:rPr>
        <w:t>Tomando en cuenta lo antedicho, el Seminario abordo en 3 ejes las perspectivas sobre estos temas cruciales para el desarrollo de la Educación Superior.</w:t>
      </w:r>
      <w:r w:rsidR="00455DE3">
        <w:rPr>
          <w:rFonts w:ascii="Noto Sans" w:eastAsia="Noto Sans" w:hAnsi="Noto Sans" w:cs="Noto Sans"/>
          <w:color w:val="333333"/>
          <w:sz w:val="23"/>
          <w:szCs w:val="23"/>
        </w:rPr>
        <w:br/>
      </w:r>
      <w:r w:rsidR="00455DE3">
        <w:rPr>
          <w:rFonts w:ascii="Noto Sans" w:eastAsia="Noto Sans" w:hAnsi="Noto Sans" w:cs="Noto Sans"/>
          <w:color w:val="333333"/>
          <w:sz w:val="23"/>
          <w:szCs w:val="23"/>
        </w:rPr>
        <w:br/>
      </w:r>
      <w:r w:rsidR="00455DE3" w:rsidRPr="00455DE3">
        <w:rPr>
          <w:rFonts w:ascii="Noto Sans" w:eastAsia="Noto Sans" w:hAnsi="Noto Sans" w:cs="Noto Sans"/>
          <w:b/>
          <w:bCs/>
          <w:color w:val="333333"/>
          <w:sz w:val="28"/>
          <w:szCs w:val="28"/>
        </w:rPr>
        <w:t>I</w:t>
      </w:r>
      <w:r w:rsidRPr="00455DE3">
        <w:rPr>
          <w:rFonts w:ascii="Noto Sans" w:eastAsia="Noto Sans" w:hAnsi="Noto Sans" w:cs="Noto Sans"/>
          <w:b/>
          <w:bCs/>
          <w:color w:val="333333"/>
          <w:sz w:val="28"/>
          <w:szCs w:val="28"/>
        </w:rPr>
        <w:t xml:space="preserve">. </w:t>
      </w:r>
      <w:proofErr w:type="spellStart"/>
      <w:r w:rsidRPr="00455DE3">
        <w:rPr>
          <w:rFonts w:ascii="Noto Sans" w:eastAsia="Noto Sans" w:hAnsi="Noto Sans" w:cs="Noto Sans"/>
          <w:b/>
          <w:bCs/>
          <w:color w:val="333333"/>
          <w:sz w:val="28"/>
          <w:szCs w:val="28"/>
        </w:rPr>
        <w:t>Sintesis</w:t>
      </w:r>
      <w:proofErr w:type="spellEnd"/>
      <w:r w:rsidRPr="00455DE3">
        <w:rPr>
          <w:rFonts w:ascii="Noto Sans" w:eastAsia="Noto Sans" w:hAnsi="Noto Sans" w:cs="Noto Sans"/>
          <w:b/>
          <w:bCs/>
          <w:color w:val="333333"/>
          <w:sz w:val="28"/>
          <w:szCs w:val="28"/>
        </w:rPr>
        <w:t xml:space="preserve"> de los Ejes Temáticos Centrales y Definiciones Estratégicas </w:t>
      </w:r>
    </w:p>
    <w:p w14:paraId="523CD1B3" w14:textId="77777777" w:rsidR="00B17978" w:rsidRDefault="008A4CB3" w:rsidP="00455DE3">
      <w:pPr>
        <w:widowControl w:val="0"/>
        <w:pBdr>
          <w:top w:val="nil"/>
          <w:left w:val="nil"/>
          <w:bottom w:val="nil"/>
          <w:right w:val="nil"/>
          <w:between w:val="nil"/>
        </w:pBdr>
        <w:spacing w:before="343" w:line="318" w:lineRule="auto"/>
        <w:ind w:left="13" w:right="-2" w:firstLine="11"/>
        <w:jc w:val="both"/>
        <w:rPr>
          <w:rFonts w:ascii="Noto Sans" w:eastAsia="Noto Sans" w:hAnsi="Noto Sans" w:cs="Noto Sans"/>
          <w:color w:val="333333"/>
          <w:sz w:val="23"/>
          <w:szCs w:val="23"/>
        </w:rPr>
      </w:pPr>
      <w:r>
        <w:rPr>
          <w:rFonts w:ascii="Noto Sans" w:eastAsia="Noto Sans" w:hAnsi="Noto Sans" w:cs="Noto Sans"/>
          <w:color w:val="333333"/>
          <w:sz w:val="23"/>
          <w:szCs w:val="23"/>
        </w:rPr>
        <w:t xml:space="preserve">Los paneles y conferencias magistrales delinearon un marco conceptual robusto, destacando la necesidad de adoptar definiciones más precisas para guiar la acción política </w:t>
      </w:r>
      <w:r>
        <w:rPr>
          <w:rFonts w:ascii="Noto Sans" w:eastAsia="Noto Sans" w:hAnsi="Noto Sans" w:cs="Noto Sans"/>
          <w:color w:val="333333"/>
          <w:sz w:val="23"/>
          <w:szCs w:val="23"/>
        </w:rPr>
        <w:lastRenderedPageBreak/>
        <w:t xml:space="preserve">y académica: </w:t>
      </w:r>
    </w:p>
    <w:p w14:paraId="0245ACFA" w14:textId="3FC9B8DE" w:rsidR="00B17978" w:rsidRPr="004E5DAB" w:rsidRDefault="008A4CB3" w:rsidP="00455DE3">
      <w:pPr>
        <w:widowControl w:val="0"/>
        <w:pBdr>
          <w:top w:val="nil"/>
          <w:left w:val="nil"/>
          <w:bottom w:val="nil"/>
          <w:right w:val="nil"/>
          <w:between w:val="nil"/>
        </w:pBdr>
        <w:spacing w:before="391" w:line="240" w:lineRule="auto"/>
        <w:ind w:left="20"/>
        <w:jc w:val="both"/>
        <w:rPr>
          <w:rFonts w:ascii="Noto Sans" w:eastAsia="Noto Sans" w:hAnsi="Noto Sans" w:cs="Noto Sans"/>
          <w:b/>
          <w:bCs/>
          <w:color w:val="333333"/>
          <w:sz w:val="23"/>
          <w:szCs w:val="23"/>
        </w:rPr>
      </w:pPr>
      <w:r w:rsidRPr="004E5DAB">
        <w:rPr>
          <w:rFonts w:ascii="Noto Sans" w:eastAsia="Noto Sans" w:hAnsi="Noto Sans" w:cs="Noto Sans"/>
          <w:b/>
          <w:bCs/>
          <w:color w:val="333333"/>
          <w:sz w:val="23"/>
          <w:szCs w:val="23"/>
        </w:rPr>
        <w:t>1. Geopolítica de la I+D+i y Diplomacia Científica</w:t>
      </w:r>
    </w:p>
    <w:p w14:paraId="4609AA58" w14:textId="19094C0E" w:rsidR="00B17978" w:rsidRDefault="008A4CB3" w:rsidP="00455DE3">
      <w:pPr>
        <w:widowControl w:val="0"/>
        <w:pBdr>
          <w:top w:val="nil"/>
          <w:left w:val="nil"/>
          <w:bottom w:val="nil"/>
          <w:right w:val="nil"/>
          <w:between w:val="nil"/>
        </w:pBdr>
        <w:spacing w:before="334" w:line="324" w:lineRule="auto"/>
        <w:ind w:left="612" w:right="125" w:firstLine="10"/>
        <w:jc w:val="both"/>
        <w:rPr>
          <w:rFonts w:ascii="Noto Sans" w:eastAsia="Noto Sans" w:hAnsi="Noto Sans" w:cs="Noto Sans"/>
          <w:color w:val="333333"/>
          <w:sz w:val="23"/>
          <w:szCs w:val="23"/>
        </w:rPr>
      </w:pPr>
      <w:r>
        <w:rPr>
          <w:rFonts w:ascii="Noto Sans" w:eastAsia="Noto Sans" w:hAnsi="Noto Sans" w:cs="Noto Sans"/>
          <w:color w:val="333333"/>
          <w:sz w:val="23"/>
          <w:szCs w:val="23"/>
        </w:rPr>
        <w:t xml:space="preserve">En el marco del </w:t>
      </w:r>
      <w:r>
        <w:rPr>
          <w:rFonts w:ascii="Noto Sans" w:eastAsia="Noto Sans" w:hAnsi="Noto Sans" w:cs="Noto Sans"/>
          <w:color w:val="333333"/>
          <w:sz w:val="23"/>
          <w:szCs w:val="23"/>
        </w:rPr>
        <w:t>análisis de cómo la distribución global de la capacidad de investigación, desarrollo e innovación (I+D+i) influye en las relaciones de poder y la soberanía tecnológica de las naciones</w:t>
      </w:r>
      <w:r w:rsidR="004E5DAB">
        <w:rPr>
          <w:rFonts w:ascii="Noto Sans" w:eastAsia="Noto Sans" w:hAnsi="Noto Sans" w:cs="Noto Sans"/>
          <w:color w:val="333333"/>
          <w:sz w:val="23"/>
          <w:szCs w:val="23"/>
        </w:rPr>
        <w:t xml:space="preserve"> </w:t>
      </w:r>
      <w:r>
        <w:rPr>
          <w:rFonts w:ascii="Noto Sans" w:eastAsia="Noto Sans" w:hAnsi="Noto Sans" w:cs="Noto Sans"/>
          <w:color w:val="333333"/>
          <w:sz w:val="23"/>
          <w:szCs w:val="23"/>
        </w:rPr>
        <w:t>en el contexto latinoamericano,</w:t>
      </w:r>
      <w:r w:rsidR="004E5DAB">
        <w:rPr>
          <w:rFonts w:ascii="Noto Sans" w:eastAsia="Noto Sans" w:hAnsi="Noto Sans" w:cs="Noto Sans"/>
          <w:color w:val="333333"/>
          <w:sz w:val="23"/>
          <w:szCs w:val="23"/>
        </w:rPr>
        <w:t xml:space="preserve"> existieron coincidencias en</w:t>
      </w:r>
      <w:r>
        <w:rPr>
          <w:rFonts w:ascii="Noto Sans" w:eastAsia="Noto Sans" w:hAnsi="Noto Sans" w:cs="Noto Sans"/>
          <w:color w:val="333333"/>
          <w:sz w:val="23"/>
          <w:szCs w:val="23"/>
        </w:rPr>
        <w:t xml:space="preserve"> reconocer la</w:t>
      </w:r>
      <w:r>
        <w:rPr>
          <w:rFonts w:ascii="Noto Sans" w:eastAsia="Noto Sans" w:hAnsi="Noto Sans" w:cs="Noto Sans"/>
          <w:color w:val="333333"/>
          <w:sz w:val="23"/>
          <w:szCs w:val="23"/>
        </w:rPr>
        <w:t xml:space="preserve">s asimetrías tecnológicas y la urgencia de desarrollar capacidades propias para reducir la dependencia y asegurar la autonomía en áreas críticas. </w:t>
      </w:r>
    </w:p>
    <w:p w14:paraId="7BD8BC4C" w14:textId="77777777" w:rsidR="00B17978" w:rsidRDefault="008A4CB3" w:rsidP="00455DE3">
      <w:pPr>
        <w:widowControl w:val="0"/>
        <w:pBdr>
          <w:top w:val="nil"/>
          <w:left w:val="nil"/>
          <w:bottom w:val="nil"/>
          <w:right w:val="nil"/>
          <w:between w:val="nil"/>
        </w:pBdr>
        <w:spacing w:before="134" w:line="319" w:lineRule="auto"/>
        <w:ind w:left="608" w:right="353" w:firstLine="14"/>
        <w:jc w:val="both"/>
        <w:rPr>
          <w:rFonts w:ascii="Noto Sans" w:eastAsia="Noto Sans" w:hAnsi="Noto Sans" w:cs="Noto Sans"/>
          <w:color w:val="333333"/>
          <w:sz w:val="23"/>
          <w:szCs w:val="23"/>
        </w:rPr>
      </w:pPr>
      <w:r>
        <w:rPr>
          <w:rFonts w:ascii="Noto Sans" w:eastAsia="Noto Sans" w:hAnsi="Noto Sans" w:cs="Noto Sans"/>
          <w:color w:val="333333"/>
          <w:sz w:val="23"/>
          <w:szCs w:val="23"/>
        </w:rPr>
        <w:t>La utilización de la cooperación científica internacional para abordar desafíos globales y construir relacion</w:t>
      </w:r>
      <w:r>
        <w:rPr>
          <w:rFonts w:ascii="Noto Sans" w:eastAsia="Noto Sans" w:hAnsi="Noto Sans" w:cs="Noto Sans"/>
          <w:color w:val="333333"/>
          <w:sz w:val="23"/>
          <w:szCs w:val="23"/>
        </w:rPr>
        <w:t xml:space="preserve">es exteriores debe ser un instrumento activo para la integración regional, promoviendo la movilidad y la coordinación de agendas de investigación que respondan a las necesidades sociales y ambientales de la región. </w:t>
      </w:r>
    </w:p>
    <w:p w14:paraId="44BCA7A5" w14:textId="77777777" w:rsidR="00B17978" w:rsidRPr="004E5DAB" w:rsidRDefault="008A4CB3" w:rsidP="00455DE3">
      <w:pPr>
        <w:widowControl w:val="0"/>
        <w:pBdr>
          <w:top w:val="nil"/>
          <w:left w:val="nil"/>
          <w:bottom w:val="nil"/>
          <w:right w:val="nil"/>
          <w:between w:val="nil"/>
        </w:pBdr>
        <w:spacing w:before="390" w:line="240" w:lineRule="auto"/>
        <w:ind w:left="9"/>
        <w:jc w:val="both"/>
        <w:rPr>
          <w:rFonts w:ascii="Noto Sans" w:eastAsia="Noto Sans" w:hAnsi="Noto Sans" w:cs="Noto Sans"/>
          <w:b/>
          <w:bCs/>
          <w:color w:val="333333"/>
          <w:sz w:val="23"/>
          <w:szCs w:val="23"/>
        </w:rPr>
      </w:pPr>
      <w:r w:rsidRPr="004E5DAB">
        <w:rPr>
          <w:rFonts w:ascii="Noto Sans" w:eastAsia="Noto Sans" w:hAnsi="Noto Sans" w:cs="Noto Sans"/>
          <w:b/>
          <w:bCs/>
          <w:color w:val="333333"/>
          <w:sz w:val="23"/>
          <w:szCs w:val="23"/>
        </w:rPr>
        <w:t>2. El Impacto Transformador de la Inteli</w:t>
      </w:r>
      <w:r w:rsidRPr="004E5DAB">
        <w:rPr>
          <w:rFonts w:ascii="Noto Sans" w:eastAsia="Noto Sans" w:hAnsi="Noto Sans" w:cs="Noto Sans"/>
          <w:b/>
          <w:bCs/>
          <w:color w:val="333333"/>
          <w:sz w:val="23"/>
          <w:szCs w:val="23"/>
        </w:rPr>
        <w:t>gencia Artificial en la Educación Superior como tecnología disruptiva emergente</w:t>
      </w:r>
    </w:p>
    <w:p w14:paraId="34B5D858" w14:textId="610DC39F" w:rsidR="00B17978" w:rsidRDefault="008A4CB3" w:rsidP="00455DE3">
      <w:pPr>
        <w:widowControl w:val="0"/>
        <w:pBdr>
          <w:top w:val="nil"/>
          <w:left w:val="nil"/>
          <w:bottom w:val="nil"/>
          <w:right w:val="nil"/>
          <w:between w:val="nil"/>
        </w:pBdr>
        <w:spacing w:before="349" w:line="319" w:lineRule="auto"/>
        <w:ind w:left="607" w:right="157" w:firstLine="15"/>
        <w:jc w:val="both"/>
        <w:rPr>
          <w:rFonts w:ascii="Noto Sans" w:eastAsia="Noto Sans" w:hAnsi="Noto Sans" w:cs="Noto Sans"/>
          <w:color w:val="333333"/>
          <w:sz w:val="23"/>
          <w:szCs w:val="23"/>
        </w:rPr>
      </w:pPr>
      <w:r>
        <w:rPr>
          <w:rFonts w:ascii="Noto Sans" w:eastAsia="Noto Sans" w:hAnsi="Noto Sans" w:cs="Noto Sans"/>
          <w:color w:val="333333"/>
          <w:sz w:val="23"/>
          <w:szCs w:val="23"/>
        </w:rPr>
        <w:t xml:space="preserve">La IA representa una fuerza dual en la universidad: ofrece oportunidades sin precedentes para la personalización y la democratización del aprendizaje, pero impone desafíos críticos en la ética, </w:t>
      </w:r>
      <w:r w:rsidR="004E5DAB">
        <w:rPr>
          <w:rFonts w:ascii="Noto Sans" w:eastAsia="Noto Sans" w:hAnsi="Noto Sans" w:cs="Noto Sans"/>
          <w:color w:val="333333"/>
          <w:sz w:val="23"/>
          <w:szCs w:val="23"/>
        </w:rPr>
        <w:t xml:space="preserve">el acceso, </w:t>
      </w:r>
      <w:r>
        <w:rPr>
          <w:rFonts w:ascii="Noto Sans" w:eastAsia="Noto Sans" w:hAnsi="Noto Sans" w:cs="Noto Sans"/>
          <w:color w:val="333333"/>
          <w:sz w:val="23"/>
          <w:szCs w:val="23"/>
        </w:rPr>
        <w:t>la integridad académica y la redefinición del rol d</w:t>
      </w:r>
      <w:r>
        <w:rPr>
          <w:rFonts w:ascii="Noto Sans" w:eastAsia="Noto Sans" w:hAnsi="Noto Sans" w:cs="Noto Sans"/>
          <w:color w:val="333333"/>
          <w:sz w:val="23"/>
          <w:szCs w:val="23"/>
        </w:rPr>
        <w:t>ocente. El éxito de su integración dependerá de la capacidad de las instituciones para gestionar el cambio cultural y establecer marcos éticos sólidos.</w:t>
      </w:r>
      <w:r w:rsidR="00455DE3">
        <w:rPr>
          <w:rFonts w:ascii="Noto Sans" w:eastAsia="Noto Sans" w:hAnsi="Noto Sans" w:cs="Noto Sans"/>
          <w:color w:val="333333"/>
          <w:sz w:val="23"/>
          <w:szCs w:val="23"/>
        </w:rPr>
        <w:br/>
      </w:r>
      <w:r>
        <w:rPr>
          <w:rFonts w:ascii="Noto Sans" w:eastAsia="Noto Sans" w:hAnsi="Noto Sans" w:cs="Noto Sans"/>
          <w:color w:val="333333"/>
          <w:sz w:val="23"/>
          <w:szCs w:val="23"/>
        </w:rPr>
        <w:t>En este marco donde surgieron diversas perspectivas y variadas definiciones, reconocer que la IA no debe</w:t>
      </w:r>
      <w:r>
        <w:rPr>
          <w:rFonts w:ascii="Noto Sans" w:eastAsia="Noto Sans" w:hAnsi="Noto Sans" w:cs="Noto Sans"/>
          <w:color w:val="333333"/>
          <w:sz w:val="23"/>
          <w:szCs w:val="23"/>
        </w:rPr>
        <w:t xml:space="preserve"> buscar la automatización del proceso educativo, sino su aumento, es preciso enfocar los esfuerzos en estudiar contemplando parámetros éticos y morales como abordar un modelo pedagógico que integre herramientas de IA para mejorar el acceso, personalizar el</w:t>
      </w:r>
      <w:r>
        <w:rPr>
          <w:rFonts w:ascii="Noto Sans" w:eastAsia="Noto Sans" w:hAnsi="Noto Sans" w:cs="Noto Sans"/>
          <w:color w:val="333333"/>
          <w:sz w:val="23"/>
          <w:szCs w:val="23"/>
        </w:rPr>
        <w:t xml:space="preserve"> aprendizaje</w:t>
      </w:r>
      <w:r w:rsidR="004E5DAB">
        <w:rPr>
          <w:rFonts w:ascii="Noto Sans" w:eastAsia="Noto Sans" w:hAnsi="Noto Sans" w:cs="Noto Sans"/>
          <w:color w:val="333333"/>
          <w:sz w:val="23"/>
          <w:szCs w:val="23"/>
        </w:rPr>
        <w:t xml:space="preserve"> y </w:t>
      </w:r>
      <w:r>
        <w:rPr>
          <w:rFonts w:ascii="Noto Sans" w:eastAsia="Noto Sans" w:hAnsi="Noto Sans" w:cs="Noto Sans"/>
          <w:color w:val="333333"/>
          <w:sz w:val="23"/>
          <w:szCs w:val="23"/>
        </w:rPr>
        <w:t xml:space="preserve">optimizar la gestión académica. El éxito de la integración de la IA no reside en la tecnología per se, sino en la gestión del cambio cultural y la adopción de marcos éticos sólidos. Las universidades deben liderar </w:t>
      </w:r>
      <w:r w:rsidR="004E5DAB">
        <w:rPr>
          <w:rFonts w:ascii="Noto Sans" w:eastAsia="Noto Sans" w:hAnsi="Noto Sans" w:cs="Noto Sans"/>
          <w:color w:val="333333"/>
          <w:sz w:val="23"/>
          <w:szCs w:val="23"/>
        </w:rPr>
        <w:t>este proceso</w:t>
      </w:r>
      <w:r>
        <w:rPr>
          <w:rFonts w:ascii="Noto Sans" w:eastAsia="Noto Sans" w:hAnsi="Noto Sans" w:cs="Noto Sans"/>
          <w:color w:val="333333"/>
          <w:sz w:val="23"/>
          <w:szCs w:val="23"/>
        </w:rPr>
        <w:t xml:space="preserve">, no sólo como </w:t>
      </w:r>
      <w:r w:rsidR="004E5DAB">
        <w:rPr>
          <w:rFonts w:ascii="Noto Sans" w:eastAsia="Noto Sans" w:hAnsi="Noto Sans" w:cs="Noto Sans"/>
          <w:color w:val="333333"/>
          <w:sz w:val="23"/>
          <w:szCs w:val="23"/>
        </w:rPr>
        <w:t xml:space="preserve">usuarios </w:t>
      </w:r>
      <w:r>
        <w:rPr>
          <w:rFonts w:ascii="Noto Sans" w:eastAsia="Noto Sans" w:hAnsi="Noto Sans" w:cs="Noto Sans"/>
          <w:color w:val="333333"/>
          <w:sz w:val="23"/>
          <w:szCs w:val="23"/>
        </w:rPr>
        <w:t xml:space="preserve">de tecnología, sino como centros de pensamiento que forman a profesionales capaces de </w:t>
      </w:r>
      <w:r w:rsidR="00455DE3">
        <w:rPr>
          <w:rFonts w:ascii="Noto Sans" w:eastAsia="Noto Sans" w:hAnsi="Noto Sans" w:cs="Noto Sans"/>
          <w:color w:val="333333"/>
          <w:sz w:val="23"/>
          <w:szCs w:val="23"/>
        </w:rPr>
        <w:lastRenderedPageBreak/>
        <w:t xml:space="preserve">desarrollar, </w:t>
      </w:r>
      <w:r>
        <w:rPr>
          <w:rFonts w:ascii="Noto Sans" w:eastAsia="Noto Sans" w:hAnsi="Noto Sans" w:cs="Noto Sans"/>
          <w:color w:val="333333"/>
          <w:sz w:val="23"/>
          <w:szCs w:val="23"/>
        </w:rPr>
        <w:t>convivir y colaborar con esta y otras tecnologías emergentes.</w:t>
      </w:r>
      <w:r w:rsidR="00455DE3">
        <w:rPr>
          <w:rFonts w:ascii="Noto Sans" w:eastAsia="Noto Sans" w:hAnsi="Noto Sans" w:cs="Noto Sans"/>
          <w:color w:val="333333"/>
          <w:sz w:val="23"/>
          <w:szCs w:val="23"/>
        </w:rPr>
        <w:br/>
      </w:r>
      <w:r>
        <w:rPr>
          <w:rFonts w:ascii="Noto Sans" w:eastAsia="Noto Sans" w:hAnsi="Noto Sans" w:cs="Noto Sans"/>
          <w:color w:val="333333"/>
          <w:sz w:val="23"/>
          <w:szCs w:val="23"/>
        </w:rPr>
        <w:t xml:space="preserve">Al </w:t>
      </w:r>
      <w:r w:rsidR="00455DE3">
        <w:rPr>
          <w:rFonts w:ascii="Noto Sans" w:eastAsia="Noto Sans" w:hAnsi="Noto Sans" w:cs="Noto Sans"/>
          <w:color w:val="333333"/>
          <w:sz w:val="23"/>
          <w:szCs w:val="23"/>
        </w:rPr>
        <w:t>pensar la</w:t>
      </w:r>
      <w:r>
        <w:rPr>
          <w:rFonts w:ascii="Noto Sans" w:eastAsia="Noto Sans" w:hAnsi="Noto Sans" w:cs="Noto Sans"/>
          <w:color w:val="333333"/>
          <w:sz w:val="23"/>
          <w:szCs w:val="23"/>
        </w:rPr>
        <w:t xml:space="preserve"> IA con una visión crítica y humanista, las instituciones pueden asegurar que esta tecnología sirva a los fines superiores de la universidad: la formación integral, el pensamiento crítico y la generación de conocimiento para el bienestar social.</w:t>
      </w:r>
    </w:p>
    <w:p w14:paraId="3F3974B2" w14:textId="77777777" w:rsidR="00B17978" w:rsidRDefault="008A4CB3" w:rsidP="00455DE3">
      <w:pPr>
        <w:widowControl w:val="0"/>
        <w:pBdr>
          <w:top w:val="nil"/>
          <w:left w:val="nil"/>
          <w:bottom w:val="nil"/>
          <w:right w:val="nil"/>
          <w:between w:val="nil"/>
        </w:pBdr>
        <w:spacing w:before="135" w:line="318" w:lineRule="auto"/>
        <w:ind w:left="613" w:right="106"/>
        <w:jc w:val="both"/>
        <w:rPr>
          <w:rFonts w:ascii="Noto Sans" w:eastAsia="Noto Sans" w:hAnsi="Noto Sans" w:cs="Noto Sans"/>
          <w:color w:val="333333"/>
          <w:sz w:val="23"/>
          <w:szCs w:val="23"/>
        </w:rPr>
      </w:pPr>
      <w:r>
        <w:rPr>
          <w:rFonts w:ascii="Noto Sans" w:eastAsia="Noto Sans" w:hAnsi="Noto Sans" w:cs="Noto Sans"/>
          <w:color w:val="333333"/>
          <w:sz w:val="23"/>
          <w:szCs w:val="23"/>
        </w:rPr>
        <w:t>Ciertament</w:t>
      </w:r>
      <w:r>
        <w:rPr>
          <w:rFonts w:ascii="Noto Sans" w:eastAsia="Noto Sans" w:hAnsi="Noto Sans" w:cs="Noto Sans"/>
          <w:color w:val="333333"/>
          <w:sz w:val="23"/>
          <w:szCs w:val="23"/>
        </w:rPr>
        <w:t>e la irrupción de la IA exige una redefinición profunda de los diversos roles que cumple la Universidad y una gobernanza de datos robusta. La prioridad es fortalecer el método científico y el pensamiento ético en todos los niveles de la ES, transformándolo</w:t>
      </w:r>
      <w:r>
        <w:rPr>
          <w:rFonts w:ascii="Noto Sans" w:eastAsia="Noto Sans" w:hAnsi="Noto Sans" w:cs="Noto Sans"/>
          <w:color w:val="333333"/>
          <w:sz w:val="23"/>
          <w:szCs w:val="23"/>
        </w:rPr>
        <w:t xml:space="preserve">s de consumidores de información a creadores, innovadores y ciudadanos responsables capaces de interactuar críticamente con las nuevas tecnologías. </w:t>
      </w:r>
    </w:p>
    <w:p w14:paraId="4DBD4893" w14:textId="77777777" w:rsidR="004E5DAB" w:rsidRDefault="008A4CB3" w:rsidP="00455DE3">
      <w:pPr>
        <w:widowControl w:val="0"/>
        <w:pBdr>
          <w:top w:val="nil"/>
          <w:left w:val="nil"/>
          <w:bottom w:val="nil"/>
          <w:right w:val="nil"/>
          <w:between w:val="nil"/>
        </w:pBdr>
        <w:spacing w:before="391" w:line="240" w:lineRule="auto"/>
        <w:ind w:left="7"/>
        <w:jc w:val="both"/>
        <w:rPr>
          <w:rFonts w:ascii="Noto Sans" w:eastAsia="Noto Sans" w:hAnsi="Noto Sans" w:cs="Noto Sans"/>
          <w:color w:val="333333"/>
          <w:sz w:val="23"/>
          <w:szCs w:val="23"/>
        </w:rPr>
      </w:pPr>
      <w:r w:rsidRPr="004E5DAB">
        <w:rPr>
          <w:rFonts w:ascii="Noto Sans" w:eastAsia="Noto Sans" w:hAnsi="Noto Sans" w:cs="Noto Sans"/>
          <w:b/>
          <w:bCs/>
          <w:color w:val="333333"/>
          <w:sz w:val="23"/>
          <w:szCs w:val="23"/>
        </w:rPr>
        <w:t>3. El Papel del Estado en la Garantía de la Calidad Universitaria</w:t>
      </w:r>
      <w:r>
        <w:rPr>
          <w:rFonts w:ascii="Noto Sans" w:eastAsia="Noto Sans" w:hAnsi="Noto Sans" w:cs="Noto Sans"/>
          <w:color w:val="333333"/>
          <w:sz w:val="23"/>
          <w:szCs w:val="23"/>
        </w:rPr>
        <w:t xml:space="preserve"> </w:t>
      </w:r>
    </w:p>
    <w:p w14:paraId="1A3EAA81" w14:textId="46CECDAC" w:rsidR="00B17978" w:rsidRDefault="004E5DAB" w:rsidP="00455DE3">
      <w:pPr>
        <w:widowControl w:val="0"/>
        <w:pBdr>
          <w:top w:val="nil"/>
          <w:left w:val="nil"/>
          <w:bottom w:val="nil"/>
          <w:right w:val="nil"/>
          <w:between w:val="nil"/>
        </w:pBdr>
        <w:spacing w:before="391" w:line="240" w:lineRule="auto"/>
        <w:ind w:left="7"/>
        <w:jc w:val="both"/>
        <w:rPr>
          <w:rFonts w:ascii="Noto Sans" w:eastAsia="Noto Sans" w:hAnsi="Noto Sans" w:cs="Noto Sans"/>
          <w:color w:val="333333"/>
          <w:sz w:val="23"/>
          <w:szCs w:val="23"/>
        </w:rPr>
      </w:pPr>
      <w:r>
        <w:rPr>
          <w:rFonts w:ascii="Noto Sans" w:eastAsia="Noto Sans" w:hAnsi="Noto Sans" w:cs="Noto Sans"/>
          <w:color w:val="333333"/>
          <w:sz w:val="23"/>
          <w:szCs w:val="23"/>
        </w:rPr>
        <w:t xml:space="preserve">Tomando como referencia la pertinencia social de la Universidad, su capacidad para generar conocimiento relevante y formar profesionales competentes y éticos que impulsen el desarrollo sostenible, el Estado debe garantizar un financiamiento sostenible y sistemas de evaluación y acreditación que promuevan la mejora continua y la flexibilidad curricular en respuesta a las demandas </w:t>
      </w:r>
      <w:r w:rsidR="00455DE3">
        <w:rPr>
          <w:rFonts w:ascii="Noto Sans" w:eastAsia="Noto Sans" w:hAnsi="Noto Sans" w:cs="Noto Sans"/>
          <w:color w:val="333333"/>
          <w:sz w:val="23"/>
          <w:szCs w:val="23"/>
        </w:rPr>
        <w:t xml:space="preserve">sociales </w:t>
      </w:r>
      <w:r>
        <w:rPr>
          <w:rFonts w:ascii="Noto Sans" w:eastAsia="Noto Sans" w:hAnsi="Noto Sans" w:cs="Noto Sans"/>
          <w:color w:val="333333"/>
          <w:sz w:val="23"/>
          <w:szCs w:val="23"/>
        </w:rPr>
        <w:t>y los desafíos globales.</w:t>
      </w:r>
    </w:p>
    <w:p w14:paraId="711FE888" w14:textId="77777777" w:rsidR="00B17978" w:rsidRDefault="00B17978" w:rsidP="00455DE3">
      <w:pPr>
        <w:widowControl w:val="0"/>
        <w:pBdr>
          <w:top w:val="nil"/>
          <w:left w:val="nil"/>
          <w:bottom w:val="nil"/>
          <w:right w:val="nil"/>
          <w:between w:val="nil"/>
        </w:pBdr>
        <w:spacing w:line="240" w:lineRule="auto"/>
        <w:ind w:left="26"/>
        <w:jc w:val="both"/>
        <w:rPr>
          <w:rFonts w:ascii="Noto Sans" w:eastAsia="Noto Sans" w:hAnsi="Noto Sans" w:cs="Noto Sans"/>
          <w:color w:val="333333"/>
          <w:sz w:val="28"/>
          <w:szCs w:val="28"/>
        </w:rPr>
      </w:pPr>
    </w:p>
    <w:p w14:paraId="7028A928" w14:textId="1E81B0DF" w:rsidR="00B17978" w:rsidRPr="00455DE3" w:rsidRDefault="008A4CB3" w:rsidP="00455DE3">
      <w:pPr>
        <w:widowControl w:val="0"/>
        <w:pBdr>
          <w:top w:val="nil"/>
          <w:left w:val="nil"/>
          <w:bottom w:val="nil"/>
          <w:right w:val="nil"/>
          <w:between w:val="nil"/>
        </w:pBdr>
        <w:spacing w:line="240" w:lineRule="auto"/>
        <w:ind w:left="26"/>
        <w:jc w:val="both"/>
        <w:rPr>
          <w:rFonts w:ascii="Noto Sans" w:eastAsia="Noto Sans" w:hAnsi="Noto Sans" w:cs="Noto Sans"/>
          <w:b/>
          <w:bCs/>
          <w:color w:val="333333"/>
          <w:sz w:val="28"/>
          <w:szCs w:val="28"/>
        </w:rPr>
      </w:pPr>
      <w:r w:rsidRPr="00455DE3">
        <w:rPr>
          <w:rFonts w:ascii="Noto Sans" w:eastAsia="Noto Sans" w:hAnsi="Noto Sans" w:cs="Noto Sans"/>
          <w:b/>
          <w:bCs/>
          <w:color w:val="333333"/>
          <w:sz w:val="28"/>
          <w:szCs w:val="28"/>
        </w:rPr>
        <w:t xml:space="preserve">II. Proyección y Perspectiva Estratégica </w:t>
      </w:r>
    </w:p>
    <w:p w14:paraId="62EE5831" w14:textId="22545CF6" w:rsidR="00B17978" w:rsidRDefault="008A4CB3" w:rsidP="00455DE3">
      <w:pPr>
        <w:widowControl w:val="0"/>
        <w:pBdr>
          <w:top w:val="nil"/>
          <w:left w:val="nil"/>
          <w:bottom w:val="nil"/>
          <w:right w:val="nil"/>
          <w:between w:val="nil"/>
        </w:pBdr>
        <w:spacing w:before="343" w:line="324" w:lineRule="auto"/>
        <w:ind w:left="21" w:right="1" w:firstLine="4"/>
        <w:jc w:val="both"/>
        <w:rPr>
          <w:rFonts w:ascii="Noto Sans" w:eastAsia="Noto Sans" w:hAnsi="Noto Sans" w:cs="Noto Sans"/>
          <w:color w:val="333333"/>
          <w:sz w:val="23"/>
          <w:szCs w:val="23"/>
        </w:rPr>
      </w:pPr>
      <w:r>
        <w:rPr>
          <w:rFonts w:ascii="Noto Sans" w:eastAsia="Noto Sans" w:hAnsi="Noto Sans" w:cs="Noto Sans"/>
          <w:color w:val="333333"/>
          <w:sz w:val="23"/>
          <w:szCs w:val="23"/>
        </w:rPr>
        <w:t xml:space="preserve">El seminario no solo diagnosticó el presente, sino que también sentó las bases para una agenda de futuro para las universidades de AUGM: </w:t>
      </w:r>
    </w:p>
    <w:tbl>
      <w:tblPr>
        <w:tblStyle w:val="a"/>
        <w:tblW w:w="963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3705"/>
        <w:gridCol w:w="3945"/>
      </w:tblGrid>
      <w:tr w:rsidR="00B17978" w14:paraId="0430F1FC" w14:textId="77777777">
        <w:trPr>
          <w:trHeight w:val="944"/>
        </w:trPr>
        <w:tc>
          <w:tcPr>
            <w:tcW w:w="1980" w:type="dxa"/>
            <w:tcMar>
              <w:top w:w="100" w:type="dxa"/>
              <w:left w:w="100" w:type="dxa"/>
              <w:bottom w:w="100" w:type="dxa"/>
              <w:right w:w="100" w:type="dxa"/>
            </w:tcMar>
          </w:tcPr>
          <w:p w14:paraId="6CBA48F5" w14:textId="77777777" w:rsidR="00B17978" w:rsidRDefault="008A4CB3" w:rsidP="00455DE3">
            <w:pPr>
              <w:widowControl w:val="0"/>
              <w:pBdr>
                <w:top w:val="nil"/>
                <w:left w:val="nil"/>
                <w:bottom w:val="nil"/>
                <w:right w:val="nil"/>
                <w:between w:val="nil"/>
              </w:pBdr>
              <w:spacing w:line="240" w:lineRule="auto"/>
              <w:jc w:val="both"/>
              <w:rPr>
                <w:rFonts w:ascii="Noto Sans" w:eastAsia="Noto Sans" w:hAnsi="Noto Sans" w:cs="Noto Sans"/>
                <w:color w:val="333333"/>
                <w:sz w:val="21"/>
                <w:szCs w:val="21"/>
              </w:rPr>
            </w:pPr>
            <w:r>
              <w:rPr>
                <w:rFonts w:ascii="Noto Sans" w:eastAsia="Noto Sans" w:hAnsi="Noto Sans" w:cs="Noto Sans"/>
                <w:color w:val="333333"/>
                <w:sz w:val="21"/>
                <w:szCs w:val="21"/>
              </w:rPr>
              <w:t>Eje Temático</w:t>
            </w:r>
          </w:p>
        </w:tc>
        <w:tc>
          <w:tcPr>
            <w:tcW w:w="3705" w:type="dxa"/>
            <w:tcMar>
              <w:top w:w="100" w:type="dxa"/>
              <w:left w:w="100" w:type="dxa"/>
              <w:bottom w:w="100" w:type="dxa"/>
              <w:right w:w="100" w:type="dxa"/>
            </w:tcMar>
          </w:tcPr>
          <w:p w14:paraId="418DD431" w14:textId="77777777" w:rsidR="00B17978" w:rsidRDefault="008A4CB3" w:rsidP="00455DE3">
            <w:pPr>
              <w:widowControl w:val="0"/>
              <w:pBdr>
                <w:top w:val="nil"/>
                <w:left w:val="nil"/>
                <w:bottom w:val="nil"/>
                <w:right w:val="nil"/>
                <w:between w:val="nil"/>
              </w:pBdr>
              <w:spacing w:line="240" w:lineRule="auto"/>
              <w:ind w:left="152"/>
              <w:jc w:val="both"/>
              <w:rPr>
                <w:rFonts w:ascii="Noto Sans" w:eastAsia="Noto Sans" w:hAnsi="Noto Sans" w:cs="Noto Sans"/>
                <w:color w:val="333333"/>
                <w:sz w:val="21"/>
                <w:szCs w:val="21"/>
              </w:rPr>
            </w:pPr>
            <w:r>
              <w:rPr>
                <w:rFonts w:ascii="Noto Sans" w:eastAsia="Noto Sans" w:hAnsi="Noto Sans" w:cs="Noto Sans"/>
                <w:color w:val="333333"/>
                <w:sz w:val="21"/>
                <w:szCs w:val="21"/>
              </w:rPr>
              <w:t xml:space="preserve">Proyección Estratégica </w:t>
            </w:r>
          </w:p>
          <w:p w14:paraId="791238EF" w14:textId="77777777" w:rsidR="00B17978" w:rsidRDefault="008A4CB3" w:rsidP="00455DE3">
            <w:pPr>
              <w:widowControl w:val="0"/>
              <w:pBdr>
                <w:top w:val="nil"/>
                <w:left w:val="nil"/>
                <w:bottom w:val="nil"/>
                <w:right w:val="nil"/>
                <w:between w:val="nil"/>
              </w:pBdr>
              <w:spacing w:before="92" w:line="240" w:lineRule="auto"/>
              <w:ind w:left="150"/>
              <w:jc w:val="both"/>
              <w:rPr>
                <w:rFonts w:ascii="Noto Sans" w:eastAsia="Noto Sans" w:hAnsi="Noto Sans" w:cs="Noto Sans"/>
                <w:color w:val="333333"/>
                <w:sz w:val="21"/>
                <w:szCs w:val="21"/>
              </w:rPr>
            </w:pPr>
            <w:r>
              <w:rPr>
                <w:rFonts w:ascii="Noto Sans" w:eastAsia="Noto Sans" w:hAnsi="Noto Sans" w:cs="Noto Sans"/>
                <w:color w:val="333333"/>
                <w:sz w:val="21"/>
                <w:szCs w:val="21"/>
              </w:rPr>
              <w:t>(Corto/Mediano Plazo)</w:t>
            </w:r>
          </w:p>
        </w:tc>
        <w:tc>
          <w:tcPr>
            <w:tcW w:w="3945" w:type="dxa"/>
            <w:tcMar>
              <w:top w:w="100" w:type="dxa"/>
              <w:left w:w="100" w:type="dxa"/>
              <w:bottom w:w="100" w:type="dxa"/>
              <w:right w:w="100" w:type="dxa"/>
            </w:tcMar>
          </w:tcPr>
          <w:p w14:paraId="4B1F208F" w14:textId="77777777" w:rsidR="00B17978" w:rsidRDefault="008A4CB3" w:rsidP="00455DE3">
            <w:pPr>
              <w:widowControl w:val="0"/>
              <w:pBdr>
                <w:top w:val="nil"/>
                <w:left w:val="nil"/>
                <w:bottom w:val="nil"/>
                <w:right w:val="nil"/>
                <w:between w:val="nil"/>
              </w:pBdr>
              <w:spacing w:line="319" w:lineRule="auto"/>
              <w:ind w:left="146" w:right="280" w:firstLine="12"/>
              <w:jc w:val="both"/>
              <w:rPr>
                <w:rFonts w:ascii="Noto Sans" w:eastAsia="Noto Sans" w:hAnsi="Noto Sans" w:cs="Noto Sans"/>
                <w:color w:val="333333"/>
                <w:sz w:val="21"/>
                <w:szCs w:val="21"/>
              </w:rPr>
            </w:pPr>
            <w:r>
              <w:rPr>
                <w:rFonts w:ascii="Noto Sans" w:eastAsia="Noto Sans" w:hAnsi="Noto Sans" w:cs="Noto Sans"/>
                <w:color w:val="333333"/>
                <w:sz w:val="21"/>
                <w:szCs w:val="21"/>
              </w:rPr>
              <w:t>Perspectiva a Largo Plazo (Visión 2030)</w:t>
            </w:r>
          </w:p>
        </w:tc>
      </w:tr>
      <w:tr w:rsidR="00B17978" w14:paraId="17E5DFFB" w14:textId="77777777">
        <w:trPr>
          <w:trHeight w:val="2684"/>
        </w:trPr>
        <w:tc>
          <w:tcPr>
            <w:tcW w:w="1980" w:type="dxa"/>
            <w:tcMar>
              <w:top w:w="100" w:type="dxa"/>
              <w:left w:w="100" w:type="dxa"/>
              <w:bottom w:w="100" w:type="dxa"/>
              <w:right w:w="100" w:type="dxa"/>
            </w:tcMar>
          </w:tcPr>
          <w:p w14:paraId="64BFF077" w14:textId="77777777" w:rsidR="00B17978" w:rsidRDefault="008A4CB3" w:rsidP="00455DE3">
            <w:pPr>
              <w:widowControl w:val="0"/>
              <w:pBdr>
                <w:top w:val="nil"/>
                <w:left w:val="nil"/>
                <w:bottom w:val="nil"/>
                <w:right w:val="nil"/>
                <w:between w:val="nil"/>
              </w:pBdr>
              <w:spacing w:line="240" w:lineRule="auto"/>
              <w:ind w:left="154"/>
              <w:jc w:val="both"/>
              <w:rPr>
                <w:rFonts w:ascii="Noto Sans" w:eastAsia="Noto Sans" w:hAnsi="Noto Sans" w:cs="Noto Sans"/>
                <w:color w:val="333333"/>
                <w:sz w:val="21"/>
                <w:szCs w:val="21"/>
              </w:rPr>
            </w:pPr>
            <w:r>
              <w:rPr>
                <w:rFonts w:ascii="Noto Sans" w:eastAsia="Noto Sans" w:hAnsi="Noto Sans" w:cs="Noto Sans"/>
                <w:color w:val="333333"/>
                <w:sz w:val="21"/>
                <w:szCs w:val="21"/>
              </w:rPr>
              <w:t xml:space="preserve">I+D+i y </w:t>
            </w:r>
          </w:p>
          <w:p w14:paraId="3278ED9B" w14:textId="77777777" w:rsidR="00B17978" w:rsidRDefault="008A4CB3" w:rsidP="00455DE3">
            <w:pPr>
              <w:widowControl w:val="0"/>
              <w:pBdr>
                <w:top w:val="nil"/>
                <w:left w:val="nil"/>
                <w:bottom w:val="nil"/>
                <w:right w:val="nil"/>
                <w:between w:val="nil"/>
              </w:pBdr>
              <w:spacing w:before="92" w:line="240" w:lineRule="auto"/>
              <w:ind w:left="154"/>
              <w:jc w:val="both"/>
              <w:rPr>
                <w:rFonts w:ascii="Noto Sans" w:eastAsia="Noto Sans" w:hAnsi="Noto Sans" w:cs="Noto Sans"/>
                <w:color w:val="333333"/>
                <w:sz w:val="21"/>
                <w:szCs w:val="21"/>
              </w:rPr>
            </w:pPr>
            <w:r>
              <w:rPr>
                <w:rFonts w:ascii="Noto Sans" w:eastAsia="Noto Sans" w:hAnsi="Noto Sans" w:cs="Noto Sans"/>
                <w:color w:val="333333"/>
                <w:sz w:val="21"/>
                <w:szCs w:val="21"/>
              </w:rPr>
              <w:t xml:space="preserve">Diplomacia </w:t>
            </w:r>
          </w:p>
          <w:p w14:paraId="64402E1F" w14:textId="77777777" w:rsidR="00B17978" w:rsidRDefault="008A4CB3" w:rsidP="00455DE3">
            <w:pPr>
              <w:widowControl w:val="0"/>
              <w:pBdr>
                <w:top w:val="nil"/>
                <w:left w:val="nil"/>
                <w:bottom w:val="nil"/>
                <w:right w:val="nil"/>
                <w:between w:val="nil"/>
              </w:pBdr>
              <w:spacing w:before="92" w:line="240" w:lineRule="auto"/>
              <w:ind w:left="146"/>
              <w:jc w:val="both"/>
              <w:rPr>
                <w:rFonts w:ascii="Noto Sans" w:eastAsia="Noto Sans" w:hAnsi="Noto Sans" w:cs="Noto Sans"/>
                <w:color w:val="333333"/>
                <w:sz w:val="21"/>
                <w:szCs w:val="21"/>
              </w:rPr>
            </w:pPr>
            <w:r>
              <w:rPr>
                <w:rFonts w:ascii="Noto Sans" w:eastAsia="Noto Sans" w:hAnsi="Noto Sans" w:cs="Noto Sans"/>
                <w:color w:val="333333"/>
                <w:sz w:val="21"/>
                <w:szCs w:val="21"/>
              </w:rPr>
              <w:t>Científica</w:t>
            </w:r>
          </w:p>
        </w:tc>
        <w:tc>
          <w:tcPr>
            <w:tcW w:w="3705" w:type="dxa"/>
            <w:tcMar>
              <w:top w:w="100" w:type="dxa"/>
              <w:left w:w="100" w:type="dxa"/>
              <w:bottom w:w="100" w:type="dxa"/>
              <w:right w:w="100" w:type="dxa"/>
            </w:tcMar>
          </w:tcPr>
          <w:p w14:paraId="0D363ACC" w14:textId="197F0CBB" w:rsidR="00B17978" w:rsidRDefault="008A4CB3" w:rsidP="00455DE3">
            <w:pPr>
              <w:widowControl w:val="0"/>
              <w:pBdr>
                <w:top w:val="nil"/>
                <w:left w:val="nil"/>
                <w:bottom w:val="nil"/>
                <w:right w:val="nil"/>
                <w:between w:val="nil"/>
              </w:pBdr>
              <w:spacing w:line="319" w:lineRule="auto"/>
              <w:ind w:left="143" w:right="256" w:firstLine="8"/>
              <w:jc w:val="both"/>
              <w:rPr>
                <w:rFonts w:ascii="Noto Sans" w:eastAsia="Noto Sans" w:hAnsi="Noto Sans" w:cs="Noto Sans"/>
                <w:color w:val="333333"/>
                <w:sz w:val="19"/>
                <w:szCs w:val="19"/>
              </w:rPr>
            </w:pPr>
            <w:r>
              <w:rPr>
                <w:rFonts w:ascii="Noto Sans" w:eastAsia="Noto Sans" w:hAnsi="Noto Sans" w:cs="Noto Sans"/>
                <w:color w:val="333333"/>
                <w:sz w:val="19"/>
                <w:szCs w:val="19"/>
              </w:rPr>
              <w:t>Priorizar la I+D+i regional en áreas críticas (</w:t>
            </w:r>
            <w:proofErr w:type="spellStart"/>
            <w:r>
              <w:rPr>
                <w:rFonts w:ascii="Noto Sans" w:eastAsia="Noto Sans" w:hAnsi="Noto Sans" w:cs="Noto Sans"/>
                <w:color w:val="333333"/>
                <w:sz w:val="19"/>
                <w:szCs w:val="19"/>
              </w:rPr>
              <w:t>e.g</w:t>
            </w:r>
            <w:proofErr w:type="spellEnd"/>
            <w:r>
              <w:rPr>
                <w:rFonts w:ascii="Noto Sans" w:eastAsia="Noto Sans" w:hAnsi="Noto Sans" w:cs="Noto Sans"/>
                <w:color w:val="333333"/>
                <w:sz w:val="19"/>
                <w:szCs w:val="19"/>
              </w:rPr>
              <w:t xml:space="preserve">., salud, energía, soberanía alimentaria). Fortalecer la Red de Diplomacia Científica de AUGM para influir en foros internacionales y negociar acuerdos de </w:t>
            </w:r>
            <w:r w:rsidR="00455DE3">
              <w:rPr>
                <w:rFonts w:ascii="Noto Sans" w:eastAsia="Noto Sans" w:hAnsi="Noto Sans" w:cs="Noto Sans"/>
                <w:color w:val="333333"/>
                <w:sz w:val="19"/>
                <w:szCs w:val="19"/>
              </w:rPr>
              <w:t>t</w:t>
            </w:r>
            <w:r>
              <w:rPr>
                <w:rFonts w:ascii="Noto Sans" w:eastAsia="Noto Sans" w:hAnsi="Noto Sans" w:cs="Noto Sans"/>
                <w:color w:val="333333"/>
                <w:sz w:val="19"/>
                <w:szCs w:val="19"/>
              </w:rPr>
              <w:t xml:space="preserve">ransferencia tecnológica </w:t>
            </w:r>
            <w:r>
              <w:rPr>
                <w:rFonts w:ascii="Noto Sans" w:eastAsia="Noto Sans" w:hAnsi="Noto Sans" w:cs="Noto Sans"/>
                <w:color w:val="333333"/>
                <w:sz w:val="19"/>
                <w:szCs w:val="19"/>
              </w:rPr>
              <w:t>justos.</w:t>
            </w:r>
          </w:p>
        </w:tc>
        <w:tc>
          <w:tcPr>
            <w:tcW w:w="3945" w:type="dxa"/>
            <w:tcMar>
              <w:top w:w="100" w:type="dxa"/>
              <w:left w:w="100" w:type="dxa"/>
              <w:bottom w:w="100" w:type="dxa"/>
              <w:right w:w="100" w:type="dxa"/>
            </w:tcMar>
          </w:tcPr>
          <w:p w14:paraId="747A6E49" w14:textId="77777777" w:rsidR="00B17978" w:rsidRDefault="008A4CB3" w:rsidP="00455DE3">
            <w:pPr>
              <w:widowControl w:val="0"/>
              <w:pBdr>
                <w:top w:val="nil"/>
                <w:left w:val="nil"/>
                <w:bottom w:val="nil"/>
                <w:right w:val="nil"/>
                <w:between w:val="nil"/>
              </w:pBdr>
              <w:spacing w:line="319" w:lineRule="auto"/>
              <w:ind w:left="149" w:right="125" w:firstLine="2"/>
              <w:jc w:val="both"/>
              <w:rPr>
                <w:rFonts w:ascii="Noto Sans" w:eastAsia="Noto Sans" w:hAnsi="Noto Sans" w:cs="Noto Sans"/>
                <w:color w:val="333333"/>
                <w:sz w:val="21"/>
                <w:szCs w:val="21"/>
              </w:rPr>
            </w:pPr>
            <w:r>
              <w:rPr>
                <w:rFonts w:ascii="Noto Sans" w:eastAsia="Noto Sans" w:hAnsi="Noto Sans" w:cs="Noto Sans"/>
                <w:color w:val="333333"/>
                <w:sz w:val="21"/>
                <w:szCs w:val="21"/>
              </w:rPr>
              <w:t>Consolidar a la región como un polo de conocimiento autónomo y un actor clave en la gobernanza global de la ciencia y la tecnología, reduciendo la brecha tecnológica con el Norte Global.</w:t>
            </w:r>
          </w:p>
        </w:tc>
      </w:tr>
      <w:tr w:rsidR="00B17978" w14:paraId="571126A8" w14:textId="77777777">
        <w:trPr>
          <w:trHeight w:val="3359"/>
        </w:trPr>
        <w:tc>
          <w:tcPr>
            <w:tcW w:w="1980" w:type="dxa"/>
            <w:tcMar>
              <w:top w:w="100" w:type="dxa"/>
              <w:left w:w="100" w:type="dxa"/>
              <w:bottom w:w="100" w:type="dxa"/>
              <w:right w:w="100" w:type="dxa"/>
            </w:tcMar>
          </w:tcPr>
          <w:p w14:paraId="68CE6497" w14:textId="77777777" w:rsidR="00B17978" w:rsidRDefault="008A4CB3" w:rsidP="00455DE3">
            <w:pPr>
              <w:widowControl w:val="0"/>
              <w:pBdr>
                <w:top w:val="nil"/>
                <w:left w:val="nil"/>
                <w:bottom w:val="nil"/>
                <w:right w:val="nil"/>
                <w:between w:val="nil"/>
              </w:pBdr>
              <w:spacing w:line="319" w:lineRule="auto"/>
              <w:ind w:left="134" w:right="251" w:firstLine="20"/>
              <w:jc w:val="both"/>
              <w:rPr>
                <w:rFonts w:ascii="Noto Sans" w:eastAsia="Noto Sans" w:hAnsi="Noto Sans" w:cs="Noto Sans"/>
                <w:color w:val="333333"/>
                <w:sz w:val="21"/>
                <w:szCs w:val="21"/>
              </w:rPr>
            </w:pPr>
            <w:r>
              <w:rPr>
                <w:rFonts w:ascii="Noto Sans" w:eastAsia="Noto Sans" w:hAnsi="Noto Sans" w:cs="Noto Sans"/>
                <w:color w:val="333333"/>
                <w:sz w:val="21"/>
                <w:szCs w:val="21"/>
              </w:rPr>
              <w:lastRenderedPageBreak/>
              <w:t xml:space="preserve">Inteligencia Artificial y </w:t>
            </w:r>
          </w:p>
          <w:p w14:paraId="50F5EED7" w14:textId="77777777" w:rsidR="00B17978" w:rsidRDefault="008A4CB3" w:rsidP="00455DE3">
            <w:pPr>
              <w:widowControl w:val="0"/>
              <w:pBdr>
                <w:top w:val="nil"/>
                <w:left w:val="nil"/>
                <w:bottom w:val="nil"/>
                <w:right w:val="nil"/>
                <w:between w:val="nil"/>
              </w:pBdr>
              <w:spacing w:before="21" w:line="240" w:lineRule="auto"/>
              <w:ind w:left="154"/>
              <w:jc w:val="both"/>
              <w:rPr>
                <w:rFonts w:ascii="Noto Sans" w:eastAsia="Noto Sans" w:hAnsi="Noto Sans" w:cs="Noto Sans"/>
                <w:color w:val="333333"/>
                <w:sz w:val="21"/>
                <w:szCs w:val="21"/>
              </w:rPr>
            </w:pPr>
            <w:r>
              <w:rPr>
                <w:rFonts w:ascii="Noto Sans" w:eastAsia="Noto Sans" w:hAnsi="Noto Sans" w:cs="Noto Sans"/>
                <w:color w:val="333333"/>
                <w:sz w:val="21"/>
                <w:szCs w:val="21"/>
              </w:rPr>
              <w:t>Educación</w:t>
            </w:r>
          </w:p>
        </w:tc>
        <w:tc>
          <w:tcPr>
            <w:tcW w:w="3705" w:type="dxa"/>
            <w:tcMar>
              <w:top w:w="100" w:type="dxa"/>
              <w:left w:w="100" w:type="dxa"/>
              <w:bottom w:w="100" w:type="dxa"/>
              <w:right w:w="100" w:type="dxa"/>
            </w:tcMar>
          </w:tcPr>
          <w:p w14:paraId="05D87CDC" w14:textId="77777777" w:rsidR="00B17978" w:rsidRDefault="008A4CB3" w:rsidP="00455DE3">
            <w:pPr>
              <w:widowControl w:val="0"/>
              <w:pBdr>
                <w:top w:val="nil"/>
                <w:left w:val="nil"/>
                <w:bottom w:val="nil"/>
                <w:right w:val="nil"/>
                <w:between w:val="nil"/>
              </w:pBdr>
              <w:spacing w:line="240" w:lineRule="auto"/>
              <w:ind w:left="144"/>
              <w:jc w:val="both"/>
              <w:rPr>
                <w:rFonts w:ascii="Noto Sans" w:eastAsia="Noto Sans" w:hAnsi="Noto Sans" w:cs="Noto Sans"/>
                <w:color w:val="333333"/>
                <w:sz w:val="21"/>
                <w:szCs w:val="21"/>
              </w:rPr>
            </w:pPr>
            <w:r>
              <w:rPr>
                <w:rFonts w:ascii="Noto Sans" w:eastAsia="Noto Sans" w:hAnsi="Noto Sans" w:cs="Noto Sans"/>
                <w:color w:val="333333"/>
                <w:sz w:val="21"/>
                <w:szCs w:val="21"/>
              </w:rPr>
              <w:t xml:space="preserve">Creación de Centros, Observatorios y </w:t>
            </w:r>
          </w:p>
          <w:p w14:paraId="5D3AB3BA" w14:textId="5A7FBCBB" w:rsidR="00B17978" w:rsidRDefault="008A4CB3" w:rsidP="00455DE3">
            <w:pPr>
              <w:widowControl w:val="0"/>
              <w:pBdr>
                <w:top w:val="nil"/>
                <w:left w:val="nil"/>
                <w:bottom w:val="nil"/>
                <w:right w:val="nil"/>
                <w:between w:val="nil"/>
              </w:pBdr>
              <w:spacing w:before="92" w:line="319" w:lineRule="auto"/>
              <w:ind w:left="143" w:right="139" w:firstLine="8"/>
              <w:jc w:val="both"/>
              <w:rPr>
                <w:rFonts w:ascii="Noto Sans" w:eastAsia="Noto Sans" w:hAnsi="Noto Sans" w:cs="Noto Sans"/>
                <w:color w:val="333333"/>
                <w:sz w:val="21"/>
                <w:szCs w:val="21"/>
              </w:rPr>
            </w:pPr>
            <w:r>
              <w:rPr>
                <w:rFonts w:ascii="Noto Sans" w:eastAsia="Noto Sans" w:hAnsi="Noto Sans" w:cs="Noto Sans"/>
                <w:color w:val="333333"/>
                <w:sz w:val="21"/>
                <w:szCs w:val="21"/>
              </w:rPr>
              <w:t xml:space="preserve">Espacios de Trabajo Especializados en IA y Educación Superior para orientar decisiones estratégicas y desarrollar marcos éticos y regulatorios comunes. Implementar programas piloto </w:t>
            </w:r>
            <w:r w:rsidR="00455DE3">
              <w:rPr>
                <w:rFonts w:ascii="Noto Sans" w:eastAsia="Noto Sans" w:hAnsi="Noto Sans" w:cs="Noto Sans"/>
                <w:color w:val="333333"/>
                <w:sz w:val="21"/>
                <w:szCs w:val="21"/>
              </w:rPr>
              <w:t>en</w:t>
            </w:r>
            <w:r>
              <w:rPr>
                <w:rFonts w:ascii="Noto Sans" w:eastAsia="Noto Sans" w:hAnsi="Noto Sans" w:cs="Noto Sans"/>
                <w:color w:val="333333"/>
                <w:sz w:val="21"/>
                <w:szCs w:val="21"/>
              </w:rPr>
              <w:t xml:space="preserve"> formación docente en el uso pedagó</w:t>
            </w:r>
            <w:r>
              <w:rPr>
                <w:rFonts w:ascii="Noto Sans" w:eastAsia="Noto Sans" w:hAnsi="Noto Sans" w:cs="Noto Sans"/>
                <w:color w:val="333333"/>
                <w:sz w:val="21"/>
                <w:szCs w:val="21"/>
              </w:rPr>
              <w:t>gico de la IA.</w:t>
            </w:r>
          </w:p>
        </w:tc>
        <w:tc>
          <w:tcPr>
            <w:tcW w:w="3945" w:type="dxa"/>
            <w:tcMar>
              <w:top w:w="100" w:type="dxa"/>
              <w:left w:w="100" w:type="dxa"/>
              <w:bottom w:w="100" w:type="dxa"/>
              <w:right w:w="100" w:type="dxa"/>
            </w:tcMar>
          </w:tcPr>
          <w:p w14:paraId="300DBC11" w14:textId="77777777" w:rsidR="00B17978" w:rsidRDefault="008A4CB3" w:rsidP="00455DE3">
            <w:pPr>
              <w:widowControl w:val="0"/>
              <w:pBdr>
                <w:top w:val="nil"/>
                <w:left w:val="nil"/>
                <w:bottom w:val="nil"/>
                <w:right w:val="nil"/>
                <w:between w:val="nil"/>
              </w:pBdr>
              <w:spacing w:line="240" w:lineRule="auto"/>
              <w:ind w:left="161"/>
              <w:jc w:val="both"/>
              <w:rPr>
                <w:rFonts w:ascii="Noto Sans" w:eastAsia="Noto Sans" w:hAnsi="Noto Sans" w:cs="Noto Sans"/>
                <w:color w:val="333333"/>
                <w:sz w:val="21"/>
                <w:szCs w:val="21"/>
              </w:rPr>
            </w:pPr>
            <w:r>
              <w:rPr>
                <w:rFonts w:ascii="Noto Sans" w:eastAsia="Noto Sans" w:hAnsi="Noto Sans" w:cs="Noto Sans"/>
                <w:color w:val="333333"/>
                <w:sz w:val="21"/>
                <w:szCs w:val="21"/>
              </w:rPr>
              <w:t xml:space="preserve">Lograr una transformación </w:t>
            </w:r>
          </w:p>
          <w:p w14:paraId="19F49552" w14:textId="71783DD4" w:rsidR="00B17978" w:rsidRDefault="008A4CB3" w:rsidP="00455DE3">
            <w:pPr>
              <w:widowControl w:val="0"/>
              <w:pBdr>
                <w:top w:val="nil"/>
                <w:left w:val="nil"/>
                <w:bottom w:val="nil"/>
                <w:right w:val="nil"/>
                <w:between w:val="nil"/>
              </w:pBdr>
              <w:spacing w:before="92" w:line="319" w:lineRule="auto"/>
              <w:ind w:left="148" w:right="178"/>
              <w:jc w:val="both"/>
              <w:rPr>
                <w:rFonts w:ascii="Noto Sans" w:eastAsia="Noto Sans" w:hAnsi="Noto Sans" w:cs="Noto Sans"/>
                <w:color w:val="333333"/>
                <w:sz w:val="21"/>
                <w:szCs w:val="21"/>
              </w:rPr>
            </w:pPr>
            <w:r>
              <w:rPr>
                <w:rFonts w:ascii="Noto Sans" w:eastAsia="Noto Sans" w:hAnsi="Noto Sans" w:cs="Noto Sans"/>
                <w:color w:val="333333"/>
                <w:sz w:val="21"/>
                <w:szCs w:val="21"/>
              </w:rPr>
              <w:t xml:space="preserve">curricular integral que incorpore el pensamiento computacional y ético como competencia transversal. Posicionar a las universidades como líderes en la </w:t>
            </w:r>
            <w:r w:rsidR="00455DE3">
              <w:rPr>
                <w:rFonts w:ascii="Noto Sans" w:eastAsia="Noto Sans" w:hAnsi="Noto Sans" w:cs="Noto Sans"/>
                <w:color w:val="333333"/>
                <w:sz w:val="21"/>
                <w:szCs w:val="21"/>
              </w:rPr>
              <w:t>i</w:t>
            </w:r>
            <w:r>
              <w:rPr>
                <w:rFonts w:ascii="Noto Sans" w:eastAsia="Noto Sans" w:hAnsi="Noto Sans" w:cs="Noto Sans"/>
                <w:color w:val="333333"/>
                <w:sz w:val="21"/>
                <w:szCs w:val="21"/>
              </w:rPr>
              <w:t xml:space="preserve">nvestigación y desarrollo de IA con sesgo cultural y </w:t>
            </w:r>
            <w:r>
              <w:rPr>
                <w:rFonts w:ascii="Noto Sans" w:eastAsia="Noto Sans" w:hAnsi="Noto Sans" w:cs="Noto Sans"/>
                <w:color w:val="333333"/>
                <w:sz w:val="21"/>
                <w:szCs w:val="21"/>
              </w:rPr>
              <w:t>socialmente responsable para América Latina.</w:t>
            </w:r>
          </w:p>
        </w:tc>
      </w:tr>
      <w:tr w:rsidR="00B17978" w14:paraId="0D642F8F" w14:textId="77777777">
        <w:trPr>
          <w:trHeight w:val="3359"/>
        </w:trPr>
        <w:tc>
          <w:tcPr>
            <w:tcW w:w="1980" w:type="dxa"/>
            <w:tcMar>
              <w:top w:w="100" w:type="dxa"/>
              <w:left w:w="100" w:type="dxa"/>
              <w:bottom w:w="100" w:type="dxa"/>
              <w:right w:w="100" w:type="dxa"/>
            </w:tcMar>
          </w:tcPr>
          <w:p w14:paraId="4804D9E4" w14:textId="77777777" w:rsidR="00B17978" w:rsidRDefault="008A4CB3" w:rsidP="00455DE3">
            <w:pPr>
              <w:widowControl w:val="0"/>
              <w:pBdr>
                <w:top w:val="nil"/>
                <w:left w:val="nil"/>
                <w:bottom w:val="nil"/>
                <w:right w:val="nil"/>
                <w:between w:val="nil"/>
              </w:pBdr>
              <w:spacing w:line="319" w:lineRule="auto"/>
              <w:ind w:left="145" w:right="144" w:firstLine="1"/>
              <w:jc w:val="both"/>
              <w:rPr>
                <w:rFonts w:ascii="Noto Sans" w:eastAsia="Noto Sans" w:hAnsi="Noto Sans" w:cs="Noto Sans"/>
                <w:color w:val="333333"/>
                <w:sz w:val="21"/>
                <w:szCs w:val="21"/>
              </w:rPr>
            </w:pPr>
            <w:r>
              <w:rPr>
                <w:rFonts w:ascii="Noto Sans" w:eastAsia="Noto Sans" w:hAnsi="Noto Sans" w:cs="Noto Sans"/>
                <w:color w:val="333333"/>
                <w:sz w:val="21"/>
                <w:szCs w:val="21"/>
              </w:rPr>
              <w:t>Calidad y Rol del Estado</w:t>
            </w:r>
          </w:p>
        </w:tc>
        <w:tc>
          <w:tcPr>
            <w:tcW w:w="3705" w:type="dxa"/>
            <w:tcMar>
              <w:top w:w="100" w:type="dxa"/>
              <w:left w:w="100" w:type="dxa"/>
              <w:bottom w:w="100" w:type="dxa"/>
              <w:right w:w="100" w:type="dxa"/>
            </w:tcMar>
          </w:tcPr>
          <w:p w14:paraId="7C9709A2" w14:textId="40EDE6FA" w:rsidR="00B17978" w:rsidRDefault="008A4CB3" w:rsidP="00455DE3">
            <w:pPr>
              <w:widowControl w:val="0"/>
              <w:pBdr>
                <w:top w:val="nil"/>
                <w:left w:val="nil"/>
                <w:bottom w:val="nil"/>
                <w:right w:val="nil"/>
                <w:between w:val="nil"/>
              </w:pBdr>
              <w:spacing w:line="319" w:lineRule="auto"/>
              <w:ind w:left="143" w:right="85" w:firstLine="10"/>
              <w:jc w:val="both"/>
              <w:rPr>
                <w:rFonts w:ascii="Noto Sans" w:eastAsia="Noto Sans" w:hAnsi="Noto Sans" w:cs="Noto Sans"/>
                <w:color w:val="333333"/>
                <w:sz w:val="21"/>
                <w:szCs w:val="21"/>
              </w:rPr>
            </w:pPr>
            <w:r>
              <w:rPr>
                <w:rFonts w:ascii="Noto Sans" w:eastAsia="Noto Sans" w:hAnsi="Noto Sans" w:cs="Noto Sans"/>
                <w:color w:val="333333"/>
                <w:sz w:val="21"/>
                <w:szCs w:val="21"/>
              </w:rPr>
              <w:t xml:space="preserve">Revisar los sistemas de evaluación y acreditación para que incorporen métricas de impacto social, innovación y pertinencia regional. El Estado debe asegurar un pacto de financiamiento </w:t>
            </w:r>
            <w:r>
              <w:rPr>
                <w:rFonts w:ascii="Noto Sans" w:eastAsia="Noto Sans" w:hAnsi="Noto Sans" w:cs="Noto Sans"/>
                <w:color w:val="333333"/>
                <w:sz w:val="21"/>
                <w:szCs w:val="21"/>
              </w:rPr>
              <w:t>que garantice la estabilidad y la inversión en infraestructura tecnológica y capital humano.</w:t>
            </w:r>
          </w:p>
        </w:tc>
        <w:tc>
          <w:tcPr>
            <w:tcW w:w="3945" w:type="dxa"/>
            <w:tcMar>
              <w:top w:w="100" w:type="dxa"/>
              <w:left w:w="100" w:type="dxa"/>
              <w:bottom w:w="100" w:type="dxa"/>
              <w:right w:w="100" w:type="dxa"/>
            </w:tcMar>
          </w:tcPr>
          <w:p w14:paraId="4959998A" w14:textId="77777777" w:rsidR="00B17978" w:rsidRDefault="008A4CB3" w:rsidP="00455DE3">
            <w:pPr>
              <w:widowControl w:val="0"/>
              <w:pBdr>
                <w:top w:val="nil"/>
                <w:left w:val="nil"/>
                <w:bottom w:val="nil"/>
                <w:right w:val="nil"/>
                <w:between w:val="nil"/>
              </w:pBdr>
              <w:spacing w:line="321" w:lineRule="auto"/>
              <w:ind w:left="146" w:right="217" w:firstLine="14"/>
              <w:jc w:val="both"/>
              <w:rPr>
                <w:rFonts w:ascii="Noto Sans" w:eastAsia="Noto Sans" w:hAnsi="Noto Sans" w:cs="Noto Sans"/>
                <w:color w:val="333333"/>
                <w:sz w:val="21"/>
                <w:szCs w:val="21"/>
              </w:rPr>
            </w:pPr>
            <w:r>
              <w:rPr>
                <w:rFonts w:ascii="Noto Sans" w:eastAsia="Noto Sans" w:hAnsi="Noto Sans" w:cs="Noto Sans"/>
                <w:color w:val="333333"/>
                <w:sz w:val="21"/>
                <w:szCs w:val="21"/>
              </w:rPr>
              <w:t xml:space="preserve">Reafirmar el carácter de bien público social de la educación superior. Establecer un marco de calidad regional armonizado que facilite la movilidad estudiantil y </w:t>
            </w:r>
            <w:r>
              <w:rPr>
                <w:rFonts w:ascii="Noto Sans" w:eastAsia="Noto Sans" w:hAnsi="Noto Sans" w:cs="Noto Sans"/>
                <w:color w:val="333333"/>
                <w:sz w:val="21"/>
                <w:szCs w:val="21"/>
              </w:rPr>
              <w:t>docente, y que asegure que todas las instituciones cumplan con estándares de excelencia y equidad.</w:t>
            </w:r>
          </w:p>
        </w:tc>
      </w:tr>
    </w:tbl>
    <w:p w14:paraId="57812E0E" w14:textId="77777777" w:rsidR="00B17978" w:rsidRDefault="00B17978" w:rsidP="00455DE3">
      <w:pPr>
        <w:widowControl w:val="0"/>
        <w:pBdr>
          <w:top w:val="nil"/>
          <w:left w:val="nil"/>
          <w:bottom w:val="nil"/>
          <w:right w:val="nil"/>
          <w:between w:val="nil"/>
        </w:pBdr>
        <w:jc w:val="both"/>
        <w:rPr>
          <w:color w:val="000000"/>
        </w:rPr>
      </w:pPr>
    </w:p>
    <w:p w14:paraId="11D0B644" w14:textId="77777777" w:rsidR="00B17978" w:rsidRDefault="00B17978" w:rsidP="00455DE3">
      <w:pPr>
        <w:widowControl w:val="0"/>
        <w:pBdr>
          <w:top w:val="nil"/>
          <w:left w:val="nil"/>
          <w:bottom w:val="nil"/>
          <w:right w:val="nil"/>
          <w:between w:val="nil"/>
        </w:pBdr>
        <w:jc w:val="both"/>
        <w:rPr>
          <w:color w:val="000000"/>
        </w:rPr>
      </w:pPr>
    </w:p>
    <w:p w14:paraId="0EED06C1" w14:textId="77777777" w:rsidR="00B17978" w:rsidRPr="00455DE3" w:rsidRDefault="008A4CB3" w:rsidP="00455DE3">
      <w:pPr>
        <w:widowControl w:val="0"/>
        <w:pBdr>
          <w:top w:val="nil"/>
          <w:left w:val="nil"/>
          <w:bottom w:val="nil"/>
          <w:right w:val="nil"/>
          <w:between w:val="nil"/>
        </w:pBdr>
        <w:spacing w:line="240" w:lineRule="auto"/>
        <w:ind w:left="26"/>
        <w:jc w:val="both"/>
        <w:rPr>
          <w:rFonts w:ascii="Noto Sans" w:eastAsia="Noto Sans" w:hAnsi="Noto Sans" w:cs="Noto Sans"/>
          <w:b/>
          <w:bCs/>
          <w:color w:val="333333"/>
          <w:sz w:val="28"/>
          <w:szCs w:val="28"/>
        </w:rPr>
      </w:pPr>
      <w:r w:rsidRPr="00455DE3">
        <w:rPr>
          <w:rFonts w:ascii="Noto Sans" w:eastAsia="Noto Sans" w:hAnsi="Noto Sans" w:cs="Noto Sans"/>
          <w:b/>
          <w:bCs/>
          <w:color w:val="333333"/>
          <w:sz w:val="28"/>
          <w:szCs w:val="28"/>
        </w:rPr>
        <w:t xml:space="preserve">III. Conclusión General </w:t>
      </w:r>
    </w:p>
    <w:p w14:paraId="3628C87F" w14:textId="01C2EDE0" w:rsidR="00B17978" w:rsidRDefault="008A4CB3" w:rsidP="00455DE3">
      <w:pPr>
        <w:widowControl w:val="0"/>
        <w:pBdr>
          <w:top w:val="nil"/>
          <w:left w:val="nil"/>
          <w:bottom w:val="nil"/>
          <w:right w:val="nil"/>
          <w:between w:val="nil"/>
        </w:pBdr>
        <w:spacing w:before="343" w:line="318" w:lineRule="auto"/>
        <w:ind w:left="7" w:right="1" w:firstLine="17"/>
        <w:jc w:val="both"/>
        <w:rPr>
          <w:rFonts w:ascii="Noto Sans" w:eastAsia="Noto Sans" w:hAnsi="Noto Sans" w:cs="Noto Sans"/>
          <w:color w:val="333333"/>
          <w:sz w:val="23"/>
          <w:szCs w:val="23"/>
        </w:rPr>
      </w:pPr>
      <w:r>
        <w:rPr>
          <w:rFonts w:ascii="Noto Sans" w:eastAsia="Noto Sans" w:hAnsi="Noto Sans" w:cs="Noto Sans"/>
          <w:color w:val="333333"/>
          <w:sz w:val="23"/>
          <w:szCs w:val="23"/>
        </w:rPr>
        <w:t>El Seminario reafirma el rol ineludible de la universidad como motor de transformación social, científica y económica de nuestros países. La colaboración efectiva entre la Universidad, la Sociedad y el Estado es la única vía para garantizar que la innovaci</w:t>
      </w:r>
      <w:r>
        <w:rPr>
          <w:rFonts w:ascii="Noto Sans" w:eastAsia="Noto Sans" w:hAnsi="Noto Sans" w:cs="Noto Sans"/>
          <w:color w:val="333333"/>
          <w:sz w:val="23"/>
          <w:szCs w:val="23"/>
        </w:rPr>
        <w:t>ón y las nuevas tecnologías emergentes como la Inteligencia Artificial se conviertan en herramientas de equidad y soberanía, y no en factores de profundización de las asimetrías. La agenda de AUGM para los próximos años debe centrarse en la acción articula</w:t>
      </w:r>
      <w:r>
        <w:rPr>
          <w:rFonts w:ascii="Noto Sans" w:eastAsia="Noto Sans" w:hAnsi="Noto Sans" w:cs="Noto Sans"/>
          <w:color w:val="333333"/>
          <w:sz w:val="23"/>
          <w:szCs w:val="23"/>
        </w:rPr>
        <w:t xml:space="preserve">da, la excelencia con pertinencia y la proyección geopolítica de su capacidad científica y educativa. </w:t>
      </w:r>
    </w:p>
    <w:p w14:paraId="55A07452" w14:textId="77777777" w:rsidR="00B17978" w:rsidRDefault="008A4CB3" w:rsidP="00455DE3">
      <w:pPr>
        <w:widowControl w:val="0"/>
        <w:pBdr>
          <w:top w:val="nil"/>
          <w:left w:val="nil"/>
          <w:bottom w:val="nil"/>
          <w:right w:val="nil"/>
          <w:between w:val="nil"/>
        </w:pBdr>
        <w:spacing w:before="349" w:line="319" w:lineRule="auto"/>
        <w:ind w:left="4" w:right="-4" w:firstLine="8"/>
        <w:jc w:val="both"/>
        <w:rPr>
          <w:rFonts w:ascii="Noto Sans" w:eastAsia="Noto Sans" w:hAnsi="Noto Sans" w:cs="Noto Sans"/>
          <w:color w:val="333333"/>
          <w:sz w:val="23"/>
          <w:szCs w:val="23"/>
        </w:rPr>
      </w:pPr>
      <w:r>
        <w:rPr>
          <w:rFonts w:ascii="Noto Sans" w:eastAsia="Noto Sans" w:hAnsi="Noto Sans" w:cs="Noto Sans"/>
          <w:color w:val="333333"/>
          <w:sz w:val="23"/>
          <w:szCs w:val="23"/>
        </w:rPr>
        <w:t xml:space="preserve">Priorizar la generación de espacios de trabajo especializados en Inteligencia Artificial y su </w:t>
      </w:r>
      <w:r>
        <w:rPr>
          <w:rFonts w:ascii="Noto Sans" w:eastAsia="Noto Sans" w:hAnsi="Noto Sans" w:cs="Noto Sans"/>
          <w:color w:val="333333"/>
          <w:sz w:val="23"/>
          <w:szCs w:val="23"/>
        </w:rPr>
        <w:lastRenderedPageBreak/>
        <w:t>impacto en la educación superior dentro de AUGM, con el fin</w:t>
      </w:r>
      <w:r>
        <w:rPr>
          <w:rFonts w:ascii="Noto Sans" w:eastAsia="Noto Sans" w:hAnsi="Noto Sans" w:cs="Noto Sans"/>
          <w:color w:val="333333"/>
          <w:sz w:val="23"/>
          <w:szCs w:val="23"/>
        </w:rPr>
        <w:t xml:space="preserve"> de orientar decisiones estratégicas, fortalecer capacidades institucionales y asegurar que la región avance de manera articulada y soberana frente a los nuevos desafíos tecnológicos, garantizando que la Educación Superior Aumentada sea un vehículo para la</w:t>
      </w:r>
      <w:r>
        <w:rPr>
          <w:rFonts w:ascii="Noto Sans" w:eastAsia="Noto Sans" w:hAnsi="Noto Sans" w:cs="Noto Sans"/>
          <w:color w:val="333333"/>
          <w:sz w:val="23"/>
          <w:szCs w:val="23"/>
        </w:rPr>
        <w:t xml:space="preserve"> inclusión y el desarrollo. </w:t>
      </w:r>
    </w:p>
    <w:p w14:paraId="079B52DF" w14:textId="77777777" w:rsidR="00B17978" w:rsidRDefault="008A4CB3" w:rsidP="00455DE3">
      <w:pPr>
        <w:widowControl w:val="0"/>
        <w:pBdr>
          <w:top w:val="nil"/>
          <w:left w:val="nil"/>
          <w:bottom w:val="nil"/>
          <w:right w:val="nil"/>
          <w:between w:val="nil"/>
        </w:pBdr>
        <w:spacing w:before="536" w:line="240" w:lineRule="auto"/>
        <w:ind w:left="22"/>
        <w:jc w:val="both"/>
        <w:rPr>
          <w:rFonts w:ascii="Noto Sans" w:eastAsia="Noto Sans" w:hAnsi="Noto Sans" w:cs="Noto Sans"/>
          <w:color w:val="333333"/>
          <w:sz w:val="24"/>
          <w:szCs w:val="24"/>
        </w:rPr>
      </w:pPr>
      <w:r>
        <w:rPr>
          <w:rFonts w:ascii="Noto Sans" w:eastAsia="Noto Sans" w:hAnsi="Noto Sans" w:cs="Noto Sans"/>
          <w:color w:val="333333"/>
          <w:sz w:val="24"/>
          <w:szCs w:val="24"/>
        </w:rPr>
        <w:t>13 de noviembre de 2025, Auditorio Central UNI</w:t>
      </w:r>
    </w:p>
    <w:sectPr w:rsidR="00B17978" w:rsidSect="00455DE3">
      <w:headerReference w:type="default" r:id="rId6"/>
      <w:pgSz w:w="11900" w:h="16820"/>
      <w:pgMar w:top="1135" w:right="1068" w:bottom="1223" w:left="113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9326D" w14:textId="77777777" w:rsidR="008A4CB3" w:rsidRDefault="008A4CB3" w:rsidP="00ED5930">
      <w:pPr>
        <w:spacing w:line="240" w:lineRule="auto"/>
      </w:pPr>
      <w:r>
        <w:separator/>
      </w:r>
    </w:p>
  </w:endnote>
  <w:endnote w:type="continuationSeparator" w:id="0">
    <w:p w14:paraId="1FACBA7C" w14:textId="77777777" w:rsidR="008A4CB3" w:rsidRDefault="008A4CB3" w:rsidP="00ED59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4F5AA7B-9A62-492A-9990-2D8377D4711A}"/>
  </w:font>
  <w:font w:name="Noto Sans">
    <w:charset w:val="00"/>
    <w:family w:val="swiss"/>
    <w:pitch w:val="variable"/>
    <w:sig w:usb0="E00082FF" w:usb1="400078FF" w:usb2="00000021" w:usb3="00000000" w:csb0="0000019F" w:csb1="00000000"/>
    <w:embedRegular r:id="rId2" w:fontKey="{44E29865-420C-4C9B-A5B4-D2264C4DFD0B}"/>
    <w:embedBold r:id="rId3" w:fontKey="{844D0F8D-0EF5-49BC-9F95-97ACCC4A9524}"/>
    <w:embedItalic r:id="rId4" w:fontKey="{BA2A3B11-1AB3-46B2-9627-035BBB5B5D15}"/>
    <w:embedBoldItalic r:id="rId5" w:fontKey="{E37CB5DB-547A-4EEB-8E9F-A83173392DA5}"/>
  </w:font>
  <w:font w:name="Calibri">
    <w:panose1 w:val="020F0502020204030204"/>
    <w:charset w:val="00"/>
    <w:family w:val="swiss"/>
    <w:pitch w:val="variable"/>
    <w:sig w:usb0="E4002EFF" w:usb1="C000247B" w:usb2="00000009" w:usb3="00000000" w:csb0="000001FF" w:csb1="00000000"/>
    <w:embedRegular r:id="rId6" w:fontKey="{E2B3FF46-013B-4EC1-9886-3765C07B3E14}"/>
  </w:font>
  <w:font w:name="Cambria">
    <w:panose1 w:val="02040503050406030204"/>
    <w:charset w:val="00"/>
    <w:family w:val="roman"/>
    <w:pitch w:val="variable"/>
    <w:sig w:usb0="E00006FF" w:usb1="420024FF" w:usb2="02000000" w:usb3="00000000" w:csb0="0000019F" w:csb1="00000000"/>
    <w:embedRegular r:id="rId7" w:fontKey="{FCE753EC-C732-4C54-9021-DD7B60B7FB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D1325" w14:textId="77777777" w:rsidR="008A4CB3" w:rsidRDefault="008A4CB3" w:rsidP="00ED5930">
      <w:pPr>
        <w:spacing w:line="240" w:lineRule="auto"/>
      </w:pPr>
      <w:r>
        <w:separator/>
      </w:r>
    </w:p>
  </w:footnote>
  <w:footnote w:type="continuationSeparator" w:id="0">
    <w:p w14:paraId="6013CF0C" w14:textId="77777777" w:rsidR="008A4CB3" w:rsidRDefault="008A4CB3" w:rsidP="00ED59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E0022" w14:textId="1073920E" w:rsidR="00ED5930" w:rsidRDefault="00ED5930">
    <w:pPr>
      <w:pStyle w:val="Encabezado"/>
    </w:pPr>
    <w:r>
      <w:rPr>
        <w:noProof/>
      </w:rPr>
      <w:drawing>
        <wp:anchor distT="0" distB="0" distL="114300" distR="114300" simplePos="0" relativeHeight="251658240" behindDoc="0" locked="0" layoutInCell="1" allowOverlap="1" wp14:anchorId="74AF3E94" wp14:editId="407C5213">
          <wp:simplePos x="0" y="0"/>
          <wp:positionH relativeFrom="column">
            <wp:posOffset>96520</wp:posOffset>
          </wp:positionH>
          <wp:positionV relativeFrom="paragraph">
            <wp:posOffset>180975</wp:posOffset>
          </wp:positionV>
          <wp:extent cx="6155690" cy="820759"/>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5690" cy="820759"/>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978"/>
    <w:rsid w:val="00455DE3"/>
    <w:rsid w:val="004751F6"/>
    <w:rsid w:val="004E5DAB"/>
    <w:rsid w:val="00665E03"/>
    <w:rsid w:val="00747174"/>
    <w:rsid w:val="008A4CB3"/>
    <w:rsid w:val="00B17978"/>
    <w:rsid w:val="00ED5930"/>
    <w:rsid w:val="00F9172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CCA15D"/>
  <w15:docId w15:val="{430C8AB7-30B5-40D2-AE78-1585F1073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UY" w:eastAsia="es-UY"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Encabezado">
    <w:name w:val="header"/>
    <w:basedOn w:val="Normal"/>
    <w:link w:val="EncabezadoCar"/>
    <w:uiPriority w:val="99"/>
    <w:unhideWhenUsed/>
    <w:rsid w:val="00ED593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D5930"/>
  </w:style>
  <w:style w:type="paragraph" w:styleId="Piedepgina">
    <w:name w:val="footer"/>
    <w:basedOn w:val="Normal"/>
    <w:link w:val="PiedepginaCar"/>
    <w:uiPriority w:val="99"/>
    <w:unhideWhenUsed/>
    <w:rsid w:val="00ED593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D5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1199</Words>
  <Characters>6970</Characters>
  <Application>Microsoft Office Word</Application>
  <DocSecurity>0</DocSecurity>
  <Lines>160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FernandoAUGM</dc:creator>
  <cp:lastModifiedBy>dcom@uni.edu.py</cp:lastModifiedBy>
  <cp:revision>3</cp:revision>
  <dcterms:created xsi:type="dcterms:W3CDTF">2025-11-14T15:38:00Z</dcterms:created>
  <dcterms:modified xsi:type="dcterms:W3CDTF">2025-11-14T15:39:00Z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f796a3bd-2401-4db4-a7e3-35e238bd3956</vt:lpwstr>
  </property>
</Properties>
</file>